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10"/>
      </w:tblGrid>
      <w:tr w:rsidR="0085467B" w14:paraId="338E95EC" w14:textId="77777777" w:rsidTr="00BA5D57">
        <w:tc>
          <w:tcPr>
            <w:tcW w:w="5670" w:type="dxa"/>
            <w:tcBorders>
              <w:bottom w:val="single" w:sz="4" w:space="0" w:color="auto"/>
            </w:tcBorders>
          </w:tcPr>
          <w:p w14:paraId="0EF35BC7" w14:textId="77777777" w:rsidR="0085467B" w:rsidRDefault="0085467B" w:rsidP="0085467B">
            <w:pPr>
              <w:spacing w:line="240" w:lineRule="auto"/>
            </w:pPr>
            <w:bookmarkStart w:id="0" w:name="_GoBack"/>
            <w:bookmarkEnd w:id="0"/>
            <w:r w:rsidRPr="00025974">
              <w:t>SUPREME COURT OF THE STATE OF NEW YORK</w:t>
            </w:r>
          </w:p>
          <w:p w14:paraId="0C52BBFA" w14:textId="63ADC7CE" w:rsidR="00B8499E" w:rsidRDefault="0085467B" w:rsidP="00C84EED">
            <w:pPr>
              <w:spacing w:line="360" w:lineRule="auto"/>
            </w:pPr>
            <w:r w:rsidRPr="00025974">
              <w:t>COUNTY OF NEW YORK</w:t>
            </w:r>
          </w:p>
        </w:tc>
        <w:tc>
          <w:tcPr>
            <w:tcW w:w="3510" w:type="dxa"/>
          </w:tcPr>
          <w:p w14:paraId="5D02128D" w14:textId="77777777" w:rsidR="0085467B" w:rsidRDefault="0085467B" w:rsidP="0085467B">
            <w:pPr>
              <w:spacing w:line="240" w:lineRule="auto"/>
            </w:pPr>
          </w:p>
        </w:tc>
      </w:tr>
      <w:tr w:rsidR="0085467B" w14:paraId="022CD28A" w14:textId="77777777" w:rsidTr="00BA5D57">
        <w:tc>
          <w:tcPr>
            <w:tcW w:w="5670" w:type="dxa"/>
            <w:tcBorders>
              <w:top w:val="single" w:sz="4" w:space="0" w:color="auto"/>
              <w:bottom w:val="single" w:sz="4" w:space="0" w:color="auto"/>
              <w:right w:val="single" w:sz="4" w:space="0" w:color="auto"/>
            </w:tcBorders>
          </w:tcPr>
          <w:p w14:paraId="75BAA22E" w14:textId="77777777" w:rsidR="00B8499E" w:rsidRDefault="00B8499E" w:rsidP="0085467B">
            <w:pPr>
              <w:spacing w:line="240" w:lineRule="auto"/>
            </w:pPr>
          </w:p>
          <w:p w14:paraId="0DCC6456" w14:textId="77777777" w:rsidR="00FD6624" w:rsidRDefault="0085467B" w:rsidP="00E1191B">
            <w:pPr>
              <w:spacing w:line="240" w:lineRule="auto"/>
              <w:jc w:val="left"/>
            </w:pPr>
            <w:r>
              <w:t xml:space="preserve">In the Matter of the Application of </w:t>
            </w:r>
          </w:p>
          <w:p w14:paraId="1562B966" w14:textId="77777777" w:rsidR="00FD6624" w:rsidRDefault="00FD6624" w:rsidP="00E1191B">
            <w:pPr>
              <w:spacing w:line="240" w:lineRule="auto"/>
              <w:jc w:val="left"/>
            </w:pPr>
          </w:p>
          <w:p w14:paraId="4AF31927" w14:textId="41310157" w:rsidR="00DC4BBD" w:rsidRDefault="00E1191B" w:rsidP="00E1191B">
            <w:pPr>
              <w:spacing w:line="240" w:lineRule="auto"/>
              <w:jc w:val="left"/>
            </w:pPr>
            <w:r>
              <w:t>DIANE MACK</w:t>
            </w:r>
            <w:r w:rsidR="004D5627">
              <w:t xml:space="preserve"> as Vi</w:t>
            </w:r>
            <w:r w:rsidR="002C6BBC">
              <w:t xml:space="preserve">ce President of </w:t>
            </w:r>
            <w:r w:rsidR="004D5627">
              <w:t>SCHOMBURG RESIDENTS’ COUNCIL, INC.</w:t>
            </w:r>
            <w:r>
              <w:t>, JOYCE SHORT</w:t>
            </w:r>
            <w:r w:rsidR="002C6BBC">
              <w:t xml:space="preserve"> as President of ROOSEVELT LANDINGS TENANTS’ ASSOCIATION</w:t>
            </w:r>
            <w:r>
              <w:t>, BRIDGETTE SCOTT</w:t>
            </w:r>
            <w:r w:rsidR="002C6BBC">
              <w:t xml:space="preserve"> as President of MILES and PARKER TENANTS’ ASSOCIATION</w:t>
            </w:r>
            <w:r w:rsidR="007D7559">
              <w:t xml:space="preserve">, </w:t>
            </w:r>
          </w:p>
          <w:p w14:paraId="30E505E8" w14:textId="77777777" w:rsidR="00DC4BBD" w:rsidRDefault="00DC4BBD" w:rsidP="00E1191B">
            <w:pPr>
              <w:spacing w:line="240" w:lineRule="auto"/>
              <w:jc w:val="left"/>
            </w:pPr>
          </w:p>
          <w:p w14:paraId="68693D1F" w14:textId="574D2361" w:rsidR="0085467B" w:rsidRDefault="009866FC" w:rsidP="00FD6624">
            <w:pPr>
              <w:spacing w:line="240" w:lineRule="auto"/>
              <w:jc w:val="left"/>
            </w:pPr>
            <w:r>
              <w:t xml:space="preserve">                                                       </w:t>
            </w:r>
            <w:r w:rsidR="0085467B">
              <w:t>Petitioner</w:t>
            </w:r>
            <w:r w:rsidR="000468D6">
              <w:t>s</w:t>
            </w:r>
            <w:r w:rsidR="0085467B">
              <w:t>,</w:t>
            </w:r>
          </w:p>
          <w:p w14:paraId="580C4BD3" w14:textId="77777777" w:rsidR="000468D6" w:rsidRDefault="000468D6" w:rsidP="00E1191B">
            <w:pPr>
              <w:spacing w:line="240" w:lineRule="auto"/>
              <w:jc w:val="left"/>
            </w:pPr>
          </w:p>
          <w:p w14:paraId="3E64C044" w14:textId="4E6DEC0C" w:rsidR="0085467B" w:rsidRDefault="00FD6624" w:rsidP="00FD6624">
            <w:pPr>
              <w:spacing w:line="240" w:lineRule="auto"/>
              <w:jc w:val="left"/>
            </w:pPr>
            <w:r>
              <w:t xml:space="preserve">                        </w:t>
            </w:r>
            <w:r w:rsidR="0085467B">
              <w:t>-against-</w:t>
            </w:r>
          </w:p>
          <w:p w14:paraId="55A9E274" w14:textId="77777777" w:rsidR="0085467B" w:rsidRDefault="0085467B" w:rsidP="00E1191B">
            <w:pPr>
              <w:spacing w:line="240" w:lineRule="auto"/>
              <w:jc w:val="left"/>
            </w:pPr>
          </w:p>
          <w:p w14:paraId="40D803FC" w14:textId="5676E5C7" w:rsidR="00DC4BBD" w:rsidRDefault="0085467B" w:rsidP="00E1191B">
            <w:pPr>
              <w:spacing w:line="240" w:lineRule="auto"/>
              <w:jc w:val="left"/>
            </w:pPr>
            <w:r>
              <w:t xml:space="preserve">NEW YORK STATE PUBLIC SERVICE COMMISSION, </w:t>
            </w:r>
            <w:r w:rsidR="005A32D7">
              <w:t xml:space="preserve">L+M </w:t>
            </w:r>
            <w:r w:rsidR="00F12506">
              <w:t xml:space="preserve">DEVELOPMENT PARTNERS </w:t>
            </w:r>
            <w:r w:rsidR="005A32D7">
              <w:t xml:space="preserve">LLC, </w:t>
            </w:r>
            <w:r w:rsidR="004E49B4">
              <w:t>C+C APARTMENT MANAGEMENT LLC</w:t>
            </w:r>
            <w:r w:rsidR="00F12506">
              <w:t xml:space="preserve">, HERITAGE HOLDINGS LLC, </w:t>
            </w:r>
            <w:r w:rsidR="00CC6961" w:rsidRPr="00CC6961">
              <w:t xml:space="preserve">RIVER CROSSING </w:t>
            </w:r>
            <w:r w:rsidR="00084952">
              <w:t>OWNER</w:t>
            </w:r>
            <w:r w:rsidR="00CC6961" w:rsidRPr="00CC6961">
              <w:t xml:space="preserve"> LLC</w:t>
            </w:r>
            <w:r w:rsidR="00CC6961">
              <w:t xml:space="preserve">, </w:t>
            </w:r>
            <w:r w:rsidR="007D7559" w:rsidRPr="007D7559">
              <w:t xml:space="preserve">ROOSEVELT LANDINGS </w:t>
            </w:r>
            <w:r w:rsidR="00084952">
              <w:t>OWNER</w:t>
            </w:r>
            <w:r w:rsidR="007D7559" w:rsidRPr="007D7559">
              <w:t xml:space="preserve"> LLC</w:t>
            </w:r>
            <w:r w:rsidR="007D7559">
              <w:t xml:space="preserve">, </w:t>
            </w:r>
            <w:r w:rsidR="007D7559" w:rsidRPr="007D7559">
              <w:t xml:space="preserve">MILES AND PARKER </w:t>
            </w:r>
            <w:r w:rsidR="00084952">
              <w:t xml:space="preserve">OWNER </w:t>
            </w:r>
            <w:r w:rsidR="007D7559" w:rsidRPr="007D7559">
              <w:t>LLC</w:t>
            </w:r>
            <w:r w:rsidR="007D7559">
              <w:t xml:space="preserve">, </w:t>
            </w:r>
          </w:p>
          <w:p w14:paraId="67AF7D81" w14:textId="77777777" w:rsidR="007D7559" w:rsidRDefault="007D7559" w:rsidP="00E1191B">
            <w:pPr>
              <w:spacing w:line="240" w:lineRule="auto"/>
              <w:jc w:val="left"/>
            </w:pPr>
          </w:p>
          <w:p w14:paraId="7B4295E3" w14:textId="26529CF2" w:rsidR="0085467B" w:rsidRDefault="009866FC" w:rsidP="00FD6624">
            <w:pPr>
              <w:spacing w:line="240" w:lineRule="auto"/>
              <w:jc w:val="left"/>
            </w:pPr>
            <w:r>
              <w:t xml:space="preserve">                                                      </w:t>
            </w:r>
            <w:r w:rsidR="0085467B">
              <w:t>Respondents</w:t>
            </w:r>
            <w:r w:rsidR="005D70FF">
              <w:t>,</w:t>
            </w:r>
          </w:p>
          <w:p w14:paraId="2675DC33" w14:textId="77777777" w:rsidR="009866FC" w:rsidRDefault="009866FC" w:rsidP="00FD6624">
            <w:pPr>
              <w:spacing w:line="240" w:lineRule="auto"/>
              <w:jc w:val="left"/>
            </w:pPr>
          </w:p>
          <w:p w14:paraId="0F51AB87" w14:textId="741808F4" w:rsidR="005D70FF" w:rsidRDefault="009866FC" w:rsidP="009866FC">
            <w:pPr>
              <w:spacing w:line="240" w:lineRule="auto"/>
              <w:jc w:val="left"/>
            </w:pPr>
            <w:r>
              <w:t xml:space="preserve">For </w:t>
            </w:r>
            <w:r w:rsidR="00972BBF">
              <w:t>a</w:t>
            </w:r>
            <w:r w:rsidR="002F1181">
              <w:t xml:space="preserve"> </w:t>
            </w:r>
            <w:r>
              <w:t>Judgment Pursuant to Article 78</w:t>
            </w:r>
            <w:r w:rsidR="00C137AA">
              <w:t xml:space="preserve">, and </w:t>
            </w:r>
            <w:r w:rsidR="00FF6846">
              <w:t>for A</w:t>
            </w:r>
            <w:r w:rsidR="00C137AA">
              <w:t>ncillary Declaratory and Injunctive Relief under Article</w:t>
            </w:r>
            <w:r w:rsidR="00FB4F89">
              <w:t>s 30 and</w:t>
            </w:r>
            <w:r w:rsidR="00C137AA">
              <w:t xml:space="preserve"> 63</w:t>
            </w:r>
            <w:r>
              <w:t xml:space="preserve"> of the Civil Practice Law and Rules</w:t>
            </w:r>
            <w:r w:rsidR="005D70FF">
              <w:t>.</w:t>
            </w:r>
          </w:p>
          <w:p w14:paraId="001A4B64" w14:textId="3A30C227" w:rsidR="00B8499E" w:rsidRDefault="00B8499E" w:rsidP="0085467B">
            <w:pPr>
              <w:spacing w:line="240" w:lineRule="auto"/>
              <w:jc w:val="left"/>
            </w:pPr>
          </w:p>
        </w:tc>
        <w:tc>
          <w:tcPr>
            <w:tcW w:w="3510" w:type="dxa"/>
            <w:tcBorders>
              <w:left w:val="single" w:sz="4" w:space="0" w:color="auto"/>
            </w:tcBorders>
          </w:tcPr>
          <w:p w14:paraId="4FA41137" w14:textId="77777777" w:rsidR="0085467B" w:rsidRDefault="0085467B" w:rsidP="0085467B">
            <w:pPr>
              <w:spacing w:line="240" w:lineRule="auto"/>
            </w:pPr>
          </w:p>
          <w:p w14:paraId="697E8AE4" w14:textId="77777777" w:rsidR="006D304E" w:rsidRDefault="006D304E" w:rsidP="0085467B">
            <w:pPr>
              <w:spacing w:line="240" w:lineRule="auto"/>
            </w:pPr>
          </w:p>
          <w:p w14:paraId="30424F6D" w14:textId="77777777" w:rsidR="006D304E" w:rsidRDefault="006D304E" w:rsidP="0085467B">
            <w:pPr>
              <w:spacing w:line="240" w:lineRule="auto"/>
            </w:pPr>
          </w:p>
          <w:p w14:paraId="1200C0C7" w14:textId="77777777" w:rsidR="006D304E" w:rsidRDefault="006D304E" w:rsidP="0085467B">
            <w:pPr>
              <w:spacing w:line="240" w:lineRule="auto"/>
            </w:pPr>
          </w:p>
          <w:p w14:paraId="3B71D410" w14:textId="77777777" w:rsidR="006D304E" w:rsidRDefault="006D304E" w:rsidP="0085467B">
            <w:pPr>
              <w:spacing w:line="240" w:lineRule="auto"/>
            </w:pPr>
          </w:p>
          <w:p w14:paraId="16406015" w14:textId="77777777" w:rsidR="006D304E" w:rsidRDefault="006D304E" w:rsidP="0085467B">
            <w:pPr>
              <w:spacing w:line="240" w:lineRule="auto"/>
            </w:pPr>
          </w:p>
          <w:p w14:paraId="6B3FFDC9" w14:textId="77777777" w:rsidR="006D304E" w:rsidRDefault="006D304E" w:rsidP="0085467B">
            <w:pPr>
              <w:spacing w:line="240" w:lineRule="auto"/>
            </w:pPr>
          </w:p>
          <w:p w14:paraId="153B11A6" w14:textId="77777777" w:rsidR="006D304E" w:rsidRDefault="006D304E" w:rsidP="0085467B">
            <w:pPr>
              <w:spacing w:line="240" w:lineRule="auto"/>
            </w:pPr>
          </w:p>
          <w:p w14:paraId="024B61ED" w14:textId="77777777" w:rsidR="006D304E" w:rsidRDefault="006D304E" w:rsidP="0085467B">
            <w:pPr>
              <w:spacing w:line="240" w:lineRule="auto"/>
            </w:pPr>
          </w:p>
          <w:p w14:paraId="623427AF" w14:textId="77777777" w:rsidR="00887011" w:rsidRDefault="00887011" w:rsidP="0085467B">
            <w:pPr>
              <w:spacing w:line="240" w:lineRule="auto"/>
              <w:rPr>
                <w:i/>
                <w:iCs/>
              </w:rPr>
            </w:pPr>
          </w:p>
          <w:p w14:paraId="4EF29272" w14:textId="77777777" w:rsidR="00887011" w:rsidRDefault="00887011" w:rsidP="00BA5D57">
            <w:pPr>
              <w:spacing w:line="240" w:lineRule="auto"/>
              <w:ind w:left="74"/>
              <w:rPr>
                <w:i/>
                <w:iCs/>
              </w:rPr>
            </w:pPr>
          </w:p>
          <w:p w14:paraId="66222A9F" w14:textId="77777777" w:rsidR="00887011" w:rsidRDefault="00887011" w:rsidP="00BA5D57">
            <w:pPr>
              <w:spacing w:line="240" w:lineRule="auto"/>
              <w:ind w:left="74"/>
              <w:rPr>
                <w:i/>
                <w:iCs/>
              </w:rPr>
            </w:pPr>
          </w:p>
          <w:p w14:paraId="7B1A6BF3" w14:textId="77777777" w:rsidR="00887011" w:rsidRDefault="00887011" w:rsidP="00BA5D57">
            <w:pPr>
              <w:spacing w:line="240" w:lineRule="auto"/>
              <w:ind w:left="74"/>
            </w:pPr>
          </w:p>
          <w:p w14:paraId="5088BA0D" w14:textId="77777777" w:rsidR="00887011" w:rsidRDefault="00887011" w:rsidP="00BA5D57">
            <w:pPr>
              <w:spacing w:line="240" w:lineRule="auto"/>
              <w:ind w:left="74"/>
            </w:pPr>
          </w:p>
          <w:p w14:paraId="06E1FA60" w14:textId="4B6310F2" w:rsidR="006D304E" w:rsidRDefault="006D304E" w:rsidP="00BA5D57">
            <w:pPr>
              <w:spacing w:line="240" w:lineRule="auto"/>
              <w:ind w:left="74"/>
            </w:pPr>
            <w:r>
              <w:t xml:space="preserve">Index No.: </w:t>
            </w:r>
            <w:r w:rsidR="00C84EED">
              <w:t>_________</w:t>
            </w:r>
          </w:p>
          <w:p w14:paraId="3E25DFFF" w14:textId="77777777" w:rsidR="009C27BC" w:rsidRDefault="009C27BC" w:rsidP="00BA5D57">
            <w:pPr>
              <w:spacing w:line="240" w:lineRule="auto"/>
              <w:ind w:left="74"/>
            </w:pPr>
          </w:p>
          <w:p w14:paraId="2FFE4870" w14:textId="77777777" w:rsidR="009C27BC" w:rsidRDefault="009C27BC" w:rsidP="00BA5D57">
            <w:pPr>
              <w:spacing w:line="240" w:lineRule="auto"/>
              <w:ind w:left="74"/>
            </w:pPr>
          </w:p>
          <w:p w14:paraId="0BCAE7D7" w14:textId="63320823" w:rsidR="009C27BC" w:rsidRPr="009C27BC" w:rsidRDefault="009C27BC" w:rsidP="00BA5D57">
            <w:pPr>
              <w:spacing w:line="240" w:lineRule="auto"/>
              <w:ind w:left="74"/>
              <w:jc w:val="left"/>
              <w:rPr>
                <w:i/>
                <w:iCs/>
              </w:rPr>
            </w:pPr>
          </w:p>
        </w:tc>
      </w:tr>
    </w:tbl>
    <w:p w14:paraId="30C740E9" w14:textId="77777777" w:rsidR="008E2F9C" w:rsidRDefault="008E2F9C" w:rsidP="008E2F9C">
      <w:pPr>
        <w:spacing w:line="240" w:lineRule="auto"/>
        <w:jc w:val="center"/>
      </w:pPr>
    </w:p>
    <w:p w14:paraId="4584C9CA" w14:textId="0C03AF95" w:rsidR="0016680A" w:rsidRDefault="0016680A" w:rsidP="0016680A">
      <w:pPr>
        <w:spacing w:line="240" w:lineRule="auto"/>
        <w:ind w:left="74"/>
        <w:jc w:val="center"/>
        <w:rPr>
          <w:b/>
          <w:bCs/>
        </w:rPr>
      </w:pPr>
      <w:r w:rsidRPr="00BA5D57">
        <w:rPr>
          <w:b/>
          <w:bCs/>
        </w:rPr>
        <w:t>VERIFIED PETITION</w:t>
      </w:r>
    </w:p>
    <w:p w14:paraId="40F24074" w14:textId="77777777" w:rsidR="00912891" w:rsidRPr="00BA5D57" w:rsidRDefault="00912891" w:rsidP="0016680A">
      <w:pPr>
        <w:spacing w:line="240" w:lineRule="auto"/>
        <w:ind w:left="74"/>
        <w:jc w:val="center"/>
        <w:rPr>
          <w:b/>
          <w:bCs/>
        </w:rPr>
      </w:pPr>
    </w:p>
    <w:p w14:paraId="67120A7A" w14:textId="04420464" w:rsidR="008E2F9C" w:rsidRDefault="008E2F9C" w:rsidP="008E2F9C">
      <w:pPr>
        <w:spacing w:line="240" w:lineRule="auto"/>
      </w:pPr>
      <w:r w:rsidRPr="00E738A2">
        <w:t xml:space="preserve">Dated:  </w:t>
      </w:r>
      <w:r>
        <w:t>August 25, 2025</w:t>
      </w:r>
    </w:p>
    <w:p w14:paraId="20D80931" w14:textId="77777777" w:rsidR="008E2F9C" w:rsidRPr="00E738A2" w:rsidRDefault="008E2F9C" w:rsidP="008E2F9C">
      <w:pPr>
        <w:spacing w:line="240" w:lineRule="auto"/>
      </w:pPr>
    </w:p>
    <w:p w14:paraId="3A28D060" w14:textId="77777777" w:rsidR="008E2F9C" w:rsidRPr="00E738A2" w:rsidRDefault="008E2F9C" w:rsidP="008E2F9C">
      <w:pPr>
        <w:spacing w:line="240" w:lineRule="auto"/>
        <w:ind w:left="4590"/>
      </w:pPr>
      <w:r w:rsidRPr="00E738A2">
        <w:t>F. William Salo, Esq.</w:t>
      </w:r>
    </w:p>
    <w:p w14:paraId="4ACEB57C" w14:textId="449EC5F3" w:rsidR="008E2F9C" w:rsidRDefault="008E2F9C" w:rsidP="008E2F9C">
      <w:pPr>
        <w:spacing w:line="240" w:lineRule="auto"/>
        <w:ind w:left="4590"/>
        <w:rPr>
          <w:i/>
          <w:iCs/>
        </w:rPr>
      </w:pPr>
      <w:r w:rsidRPr="00E738A2">
        <w:rPr>
          <w:i/>
          <w:iCs/>
        </w:rPr>
        <w:t xml:space="preserve">Attorney for the </w:t>
      </w:r>
      <w:r w:rsidRPr="004F6F34">
        <w:rPr>
          <w:i/>
          <w:iCs/>
        </w:rPr>
        <w:t>P</w:t>
      </w:r>
      <w:r>
        <w:rPr>
          <w:i/>
          <w:iCs/>
        </w:rPr>
        <w:t>etitioners</w:t>
      </w:r>
    </w:p>
    <w:p w14:paraId="059B2975" w14:textId="77777777" w:rsidR="008E2F9C" w:rsidRPr="00E738A2" w:rsidRDefault="008E2F9C" w:rsidP="008E2F9C">
      <w:pPr>
        <w:spacing w:line="240" w:lineRule="auto"/>
        <w:ind w:left="4590"/>
      </w:pPr>
      <w:r w:rsidRPr="00E738A2">
        <w:t>1295 Fifth Avenue, Apt. 18C</w:t>
      </w:r>
    </w:p>
    <w:p w14:paraId="2C921465" w14:textId="77777777" w:rsidR="008E2F9C" w:rsidRPr="00E738A2" w:rsidRDefault="008E2F9C" w:rsidP="008E2F9C">
      <w:pPr>
        <w:spacing w:line="240" w:lineRule="auto"/>
        <w:ind w:left="4590"/>
      </w:pPr>
      <w:r w:rsidRPr="00E738A2">
        <w:t>New York, NY 10029</w:t>
      </w:r>
    </w:p>
    <w:p w14:paraId="7B252494" w14:textId="77777777" w:rsidR="008E2F9C" w:rsidRPr="00E738A2" w:rsidRDefault="008E2F9C" w:rsidP="008E2F9C">
      <w:pPr>
        <w:spacing w:line="240" w:lineRule="auto"/>
        <w:ind w:left="4590"/>
      </w:pPr>
      <w:r w:rsidRPr="00E738A2">
        <w:t>Cel:  917-968-2517</w:t>
      </w:r>
    </w:p>
    <w:p w14:paraId="5AF94351" w14:textId="77777777" w:rsidR="008E2F9C" w:rsidRPr="00E738A2" w:rsidRDefault="008E2F9C" w:rsidP="008E2F9C">
      <w:pPr>
        <w:spacing w:line="240" w:lineRule="auto"/>
        <w:ind w:left="4590"/>
      </w:pPr>
      <w:r w:rsidRPr="00E738A2">
        <w:t>Tel:  212-517-3050</w:t>
      </w:r>
    </w:p>
    <w:p w14:paraId="27985684" w14:textId="77777777" w:rsidR="008E2F9C" w:rsidRPr="00E738A2" w:rsidRDefault="008E2F9C" w:rsidP="008E2F9C">
      <w:pPr>
        <w:spacing w:line="240" w:lineRule="auto"/>
        <w:ind w:left="4590"/>
      </w:pPr>
      <w:r w:rsidRPr="00E738A2">
        <w:t>Fax:  212-517-3055</w:t>
      </w:r>
    </w:p>
    <w:p w14:paraId="1A3BC27F" w14:textId="77777777" w:rsidR="008E2F9C" w:rsidRPr="00E738A2" w:rsidRDefault="008E2F9C" w:rsidP="008E2F9C">
      <w:pPr>
        <w:spacing w:line="240" w:lineRule="auto"/>
        <w:ind w:left="4590"/>
      </w:pPr>
      <w:r w:rsidRPr="00E738A2">
        <w:t>Email:  billsalo@salolaw.com</w:t>
      </w:r>
    </w:p>
    <w:p w14:paraId="6A1DFEBD" w14:textId="77777777" w:rsidR="00857041" w:rsidRDefault="00857041" w:rsidP="00255CBC">
      <w:pPr>
        <w:pStyle w:val="Heading1"/>
      </w:pPr>
      <w:bookmarkStart w:id="1" w:name="_Toc207020474"/>
      <w:bookmarkStart w:id="2" w:name="_Toc207020536"/>
      <w:r>
        <w:br w:type="page"/>
      </w:r>
    </w:p>
    <w:p w14:paraId="738628E4" w14:textId="6B63AE2E" w:rsidR="00F76A38" w:rsidRDefault="006B77BF" w:rsidP="00255CBC">
      <w:pPr>
        <w:pStyle w:val="Heading1"/>
      </w:pPr>
      <w:bookmarkStart w:id="3" w:name="_Toc207109644"/>
      <w:r>
        <w:lastRenderedPageBreak/>
        <w:t>TABLE OF CONTENTS</w:t>
      </w:r>
      <w:bookmarkEnd w:id="1"/>
      <w:bookmarkEnd w:id="2"/>
      <w:bookmarkEnd w:id="3"/>
    </w:p>
    <w:p w14:paraId="25CBDE7B" w14:textId="5462D141" w:rsidR="00CC3886" w:rsidRDefault="00E70ADD">
      <w:pPr>
        <w:pStyle w:val="TOC1"/>
        <w:rPr>
          <w:rFonts w:asciiTheme="minorHAnsi" w:eastAsiaTheme="minorEastAsia" w:hAnsiTheme="minorHAnsi" w:cstheme="minorBidi"/>
          <w:noProof/>
          <w:kern w:val="2"/>
          <w14:ligatures w14:val="standardContextual"/>
        </w:rPr>
      </w:pPr>
      <w:r>
        <w:rPr>
          <w:rFonts w:eastAsiaTheme="majorEastAsia"/>
        </w:rPr>
        <w:fldChar w:fldCharType="begin"/>
      </w:r>
      <w:r>
        <w:rPr>
          <w:rFonts w:eastAsiaTheme="majorEastAsia"/>
        </w:rPr>
        <w:instrText xml:space="preserve"> TOC \o "1-3" \h \z \u </w:instrText>
      </w:r>
      <w:r>
        <w:rPr>
          <w:rFonts w:eastAsiaTheme="majorEastAsia"/>
        </w:rPr>
        <w:fldChar w:fldCharType="separate"/>
      </w:r>
      <w:hyperlink w:anchor="_Toc207109644" w:history="1">
        <w:r w:rsidR="00CC3886" w:rsidRPr="00D36CBB">
          <w:rPr>
            <w:rStyle w:val="Hyperlink"/>
            <w:rFonts w:eastAsiaTheme="majorEastAsia"/>
            <w:noProof/>
          </w:rPr>
          <w:t>TABLE OF CONTENTS</w:t>
        </w:r>
        <w:r w:rsidR="00CC3886">
          <w:rPr>
            <w:noProof/>
            <w:webHidden/>
          </w:rPr>
          <w:tab/>
        </w:r>
        <w:r w:rsidR="00CC3886">
          <w:rPr>
            <w:noProof/>
            <w:webHidden/>
          </w:rPr>
          <w:fldChar w:fldCharType="begin"/>
        </w:r>
        <w:r w:rsidR="00CC3886">
          <w:rPr>
            <w:noProof/>
            <w:webHidden/>
          </w:rPr>
          <w:instrText xml:space="preserve"> PAGEREF _Toc207109644 \h </w:instrText>
        </w:r>
        <w:r w:rsidR="00CC3886">
          <w:rPr>
            <w:noProof/>
            <w:webHidden/>
          </w:rPr>
        </w:r>
        <w:r w:rsidR="00CC3886">
          <w:rPr>
            <w:noProof/>
            <w:webHidden/>
          </w:rPr>
          <w:fldChar w:fldCharType="separate"/>
        </w:r>
        <w:r w:rsidR="00240C20">
          <w:rPr>
            <w:noProof/>
            <w:webHidden/>
          </w:rPr>
          <w:t>ii</w:t>
        </w:r>
        <w:r w:rsidR="00CC3886">
          <w:rPr>
            <w:noProof/>
            <w:webHidden/>
          </w:rPr>
          <w:fldChar w:fldCharType="end"/>
        </w:r>
      </w:hyperlink>
    </w:p>
    <w:p w14:paraId="1922E190" w14:textId="5F84D7F9" w:rsidR="00CC3886" w:rsidRDefault="004F655B">
      <w:pPr>
        <w:pStyle w:val="TOC1"/>
        <w:rPr>
          <w:rFonts w:asciiTheme="minorHAnsi" w:eastAsiaTheme="minorEastAsia" w:hAnsiTheme="minorHAnsi" w:cstheme="minorBidi"/>
          <w:noProof/>
          <w:kern w:val="2"/>
          <w14:ligatures w14:val="standardContextual"/>
        </w:rPr>
      </w:pPr>
      <w:hyperlink w:anchor="_Toc207109645" w:history="1">
        <w:r w:rsidR="00CC3886" w:rsidRPr="00D36CBB">
          <w:rPr>
            <w:rStyle w:val="Hyperlink"/>
            <w:rFonts w:eastAsiaTheme="majorEastAsia"/>
            <w:noProof/>
          </w:rPr>
          <w:t>PRELIMINARY STATEMENT</w:t>
        </w:r>
        <w:r w:rsidR="00CC3886">
          <w:rPr>
            <w:noProof/>
            <w:webHidden/>
          </w:rPr>
          <w:tab/>
        </w:r>
        <w:r w:rsidR="00CC3886">
          <w:rPr>
            <w:noProof/>
            <w:webHidden/>
          </w:rPr>
          <w:fldChar w:fldCharType="begin"/>
        </w:r>
        <w:r w:rsidR="00CC3886">
          <w:rPr>
            <w:noProof/>
            <w:webHidden/>
          </w:rPr>
          <w:instrText xml:space="preserve"> PAGEREF _Toc207109645 \h </w:instrText>
        </w:r>
        <w:r w:rsidR="00CC3886">
          <w:rPr>
            <w:noProof/>
            <w:webHidden/>
          </w:rPr>
        </w:r>
        <w:r w:rsidR="00CC3886">
          <w:rPr>
            <w:noProof/>
            <w:webHidden/>
          </w:rPr>
          <w:fldChar w:fldCharType="separate"/>
        </w:r>
        <w:r w:rsidR="00240C20">
          <w:rPr>
            <w:noProof/>
            <w:webHidden/>
          </w:rPr>
          <w:t>1</w:t>
        </w:r>
        <w:r w:rsidR="00CC3886">
          <w:rPr>
            <w:noProof/>
            <w:webHidden/>
          </w:rPr>
          <w:fldChar w:fldCharType="end"/>
        </w:r>
      </w:hyperlink>
    </w:p>
    <w:p w14:paraId="6A3412B9" w14:textId="6E3870DE" w:rsidR="00CC3886" w:rsidRDefault="004F655B">
      <w:pPr>
        <w:pStyle w:val="TOC1"/>
        <w:rPr>
          <w:rFonts w:asciiTheme="minorHAnsi" w:eastAsiaTheme="minorEastAsia" w:hAnsiTheme="minorHAnsi" w:cstheme="minorBidi"/>
          <w:noProof/>
          <w:kern w:val="2"/>
          <w14:ligatures w14:val="standardContextual"/>
        </w:rPr>
      </w:pPr>
      <w:hyperlink w:anchor="_Toc207109646" w:history="1">
        <w:r w:rsidR="00CC3886" w:rsidRPr="00D36CBB">
          <w:rPr>
            <w:rStyle w:val="Hyperlink"/>
            <w:rFonts w:eastAsiaTheme="majorEastAsia"/>
            <w:noProof/>
          </w:rPr>
          <w:t>THE AFFECTED BUILDINGS</w:t>
        </w:r>
        <w:r w:rsidR="00CC3886">
          <w:rPr>
            <w:noProof/>
            <w:webHidden/>
          </w:rPr>
          <w:tab/>
        </w:r>
        <w:r w:rsidR="00CC3886">
          <w:rPr>
            <w:noProof/>
            <w:webHidden/>
          </w:rPr>
          <w:fldChar w:fldCharType="begin"/>
        </w:r>
        <w:r w:rsidR="00CC3886">
          <w:rPr>
            <w:noProof/>
            <w:webHidden/>
          </w:rPr>
          <w:instrText xml:space="preserve"> PAGEREF _Toc207109646 \h </w:instrText>
        </w:r>
        <w:r w:rsidR="00CC3886">
          <w:rPr>
            <w:noProof/>
            <w:webHidden/>
          </w:rPr>
        </w:r>
        <w:r w:rsidR="00CC3886">
          <w:rPr>
            <w:noProof/>
            <w:webHidden/>
          </w:rPr>
          <w:fldChar w:fldCharType="separate"/>
        </w:r>
        <w:r w:rsidR="00240C20">
          <w:rPr>
            <w:noProof/>
            <w:webHidden/>
          </w:rPr>
          <w:t>2</w:t>
        </w:r>
        <w:r w:rsidR="00CC3886">
          <w:rPr>
            <w:noProof/>
            <w:webHidden/>
          </w:rPr>
          <w:fldChar w:fldCharType="end"/>
        </w:r>
      </w:hyperlink>
    </w:p>
    <w:p w14:paraId="6ABF32FF" w14:textId="1BE959FB" w:rsidR="00CC3886" w:rsidRDefault="004F655B">
      <w:pPr>
        <w:pStyle w:val="TOC1"/>
        <w:rPr>
          <w:rFonts w:asciiTheme="minorHAnsi" w:eastAsiaTheme="minorEastAsia" w:hAnsiTheme="minorHAnsi" w:cstheme="minorBidi"/>
          <w:noProof/>
          <w:kern w:val="2"/>
          <w14:ligatures w14:val="standardContextual"/>
        </w:rPr>
      </w:pPr>
      <w:hyperlink w:anchor="_Toc207109647" w:history="1">
        <w:r w:rsidR="00CC3886" w:rsidRPr="00D36CBB">
          <w:rPr>
            <w:rStyle w:val="Hyperlink"/>
            <w:rFonts w:eastAsiaTheme="majorEastAsia"/>
            <w:noProof/>
          </w:rPr>
          <w:t>THE PETITIONERS</w:t>
        </w:r>
        <w:r w:rsidR="00CC3886">
          <w:rPr>
            <w:noProof/>
            <w:webHidden/>
          </w:rPr>
          <w:tab/>
        </w:r>
        <w:r w:rsidR="00CC3886">
          <w:rPr>
            <w:noProof/>
            <w:webHidden/>
          </w:rPr>
          <w:fldChar w:fldCharType="begin"/>
        </w:r>
        <w:r w:rsidR="00CC3886">
          <w:rPr>
            <w:noProof/>
            <w:webHidden/>
          </w:rPr>
          <w:instrText xml:space="preserve"> PAGEREF _Toc207109647 \h </w:instrText>
        </w:r>
        <w:r w:rsidR="00CC3886">
          <w:rPr>
            <w:noProof/>
            <w:webHidden/>
          </w:rPr>
        </w:r>
        <w:r w:rsidR="00CC3886">
          <w:rPr>
            <w:noProof/>
            <w:webHidden/>
          </w:rPr>
          <w:fldChar w:fldCharType="separate"/>
        </w:r>
        <w:r w:rsidR="00240C20">
          <w:rPr>
            <w:noProof/>
            <w:webHidden/>
          </w:rPr>
          <w:t>3</w:t>
        </w:r>
        <w:r w:rsidR="00CC3886">
          <w:rPr>
            <w:noProof/>
            <w:webHidden/>
          </w:rPr>
          <w:fldChar w:fldCharType="end"/>
        </w:r>
      </w:hyperlink>
    </w:p>
    <w:p w14:paraId="44146124" w14:textId="0CB4B082" w:rsidR="00CC3886" w:rsidRDefault="004F655B">
      <w:pPr>
        <w:pStyle w:val="TOC1"/>
        <w:rPr>
          <w:rFonts w:asciiTheme="minorHAnsi" w:eastAsiaTheme="minorEastAsia" w:hAnsiTheme="minorHAnsi" w:cstheme="minorBidi"/>
          <w:noProof/>
          <w:kern w:val="2"/>
          <w14:ligatures w14:val="standardContextual"/>
        </w:rPr>
      </w:pPr>
      <w:hyperlink w:anchor="_Toc207109648" w:history="1">
        <w:r w:rsidR="00CC3886" w:rsidRPr="00D36CBB">
          <w:rPr>
            <w:rStyle w:val="Hyperlink"/>
            <w:rFonts w:eastAsiaTheme="majorEastAsia"/>
            <w:noProof/>
          </w:rPr>
          <w:t>THE RESPONDENTS</w:t>
        </w:r>
        <w:r w:rsidR="00CC3886">
          <w:rPr>
            <w:noProof/>
            <w:webHidden/>
          </w:rPr>
          <w:tab/>
        </w:r>
        <w:r w:rsidR="00CC3886">
          <w:rPr>
            <w:noProof/>
            <w:webHidden/>
          </w:rPr>
          <w:fldChar w:fldCharType="begin"/>
        </w:r>
        <w:r w:rsidR="00CC3886">
          <w:rPr>
            <w:noProof/>
            <w:webHidden/>
          </w:rPr>
          <w:instrText xml:space="preserve"> PAGEREF _Toc207109648 \h </w:instrText>
        </w:r>
        <w:r w:rsidR="00CC3886">
          <w:rPr>
            <w:noProof/>
            <w:webHidden/>
          </w:rPr>
        </w:r>
        <w:r w:rsidR="00CC3886">
          <w:rPr>
            <w:noProof/>
            <w:webHidden/>
          </w:rPr>
          <w:fldChar w:fldCharType="separate"/>
        </w:r>
        <w:r w:rsidR="00240C20">
          <w:rPr>
            <w:noProof/>
            <w:webHidden/>
          </w:rPr>
          <w:t>4</w:t>
        </w:r>
        <w:r w:rsidR="00CC3886">
          <w:rPr>
            <w:noProof/>
            <w:webHidden/>
          </w:rPr>
          <w:fldChar w:fldCharType="end"/>
        </w:r>
      </w:hyperlink>
    </w:p>
    <w:p w14:paraId="5CDF6942" w14:textId="6E99F89E" w:rsidR="00CC3886" w:rsidRDefault="004F655B">
      <w:pPr>
        <w:pStyle w:val="TOC1"/>
        <w:rPr>
          <w:rFonts w:asciiTheme="minorHAnsi" w:eastAsiaTheme="minorEastAsia" w:hAnsiTheme="minorHAnsi" w:cstheme="minorBidi"/>
          <w:noProof/>
          <w:kern w:val="2"/>
          <w14:ligatures w14:val="standardContextual"/>
        </w:rPr>
      </w:pPr>
      <w:hyperlink w:anchor="_Toc207109649" w:history="1">
        <w:r w:rsidR="00CC3886" w:rsidRPr="00D36CBB">
          <w:rPr>
            <w:rStyle w:val="Hyperlink"/>
            <w:rFonts w:eastAsiaTheme="majorEastAsia"/>
            <w:noProof/>
          </w:rPr>
          <w:t>JURISDICTION AND VENUE</w:t>
        </w:r>
        <w:r w:rsidR="00CC3886">
          <w:rPr>
            <w:noProof/>
            <w:webHidden/>
          </w:rPr>
          <w:tab/>
        </w:r>
        <w:r w:rsidR="00CC3886">
          <w:rPr>
            <w:noProof/>
            <w:webHidden/>
          </w:rPr>
          <w:fldChar w:fldCharType="begin"/>
        </w:r>
        <w:r w:rsidR="00CC3886">
          <w:rPr>
            <w:noProof/>
            <w:webHidden/>
          </w:rPr>
          <w:instrText xml:space="preserve"> PAGEREF _Toc207109649 \h </w:instrText>
        </w:r>
        <w:r w:rsidR="00CC3886">
          <w:rPr>
            <w:noProof/>
            <w:webHidden/>
          </w:rPr>
        </w:r>
        <w:r w:rsidR="00CC3886">
          <w:rPr>
            <w:noProof/>
            <w:webHidden/>
          </w:rPr>
          <w:fldChar w:fldCharType="separate"/>
        </w:r>
        <w:r w:rsidR="00240C20">
          <w:rPr>
            <w:noProof/>
            <w:webHidden/>
          </w:rPr>
          <w:t>6</w:t>
        </w:r>
        <w:r w:rsidR="00CC3886">
          <w:rPr>
            <w:noProof/>
            <w:webHidden/>
          </w:rPr>
          <w:fldChar w:fldCharType="end"/>
        </w:r>
      </w:hyperlink>
    </w:p>
    <w:p w14:paraId="01D5F840" w14:textId="7251AB96" w:rsidR="00CC3886" w:rsidRDefault="004F655B">
      <w:pPr>
        <w:pStyle w:val="TOC1"/>
        <w:rPr>
          <w:rFonts w:asciiTheme="minorHAnsi" w:eastAsiaTheme="minorEastAsia" w:hAnsiTheme="minorHAnsi" w:cstheme="minorBidi"/>
          <w:noProof/>
          <w:kern w:val="2"/>
          <w14:ligatures w14:val="standardContextual"/>
        </w:rPr>
      </w:pPr>
      <w:hyperlink w:anchor="_Toc207109650" w:history="1">
        <w:r w:rsidR="00CC3886" w:rsidRPr="00D36CBB">
          <w:rPr>
            <w:rStyle w:val="Hyperlink"/>
            <w:rFonts w:eastAsiaTheme="majorEastAsia"/>
            <w:noProof/>
          </w:rPr>
          <w:t>STANDARD OF REVIEW</w:t>
        </w:r>
        <w:r w:rsidR="00CC3886">
          <w:rPr>
            <w:noProof/>
            <w:webHidden/>
          </w:rPr>
          <w:tab/>
        </w:r>
        <w:r w:rsidR="00CC3886">
          <w:rPr>
            <w:noProof/>
            <w:webHidden/>
          </w:rPr>
          <w:fldChar w:fldCharType="begin"/>
        </w:r>
        <w:r w:rsidR="00CC3886">
          <w:rPr>
            <w:noProof/>
            <w:webHidden/>
          </w:rPr>
          <w:instrText xml:space="preserve"> PAGEREF _Toc207109650 \h </w:instrText>
        </w:r>
        <w:r w:rsidR="00CC3886">
          <w:rPr>
            <w:noProof/>
            <w:webHidden/>
          </w:rPr>
        </w:r>
        <w:r w:rsidR="00CC3886">
          <w:rPr>
            <w:noProof/>
            <w:webHidden/>
          </w:rPr>
          <w:fldChar w:fldCharType="separate"/>
        </w:r>
        <w:r w:rsidR="00240C20">
          <w:rPr>
            <w:noProof/>
            <w:webHidden/>
          </w:rPr>
          <w:t>7</w:t>
        </w:r>
        <w:r w:rsidR="00CC3886">
          <w:rPr>
            <w:noProof/>
            <w:webHidden/>
          </w:rPr>
          <w:fldChar w:fldCharType="end"/>
        </w:r>
      </w:hyperlink>
    </w:p>
    <w:p w14:paraId="08A1589D" w14:textId="5B7CCAE4" w:rsidR="00CC3886" w:rsidRDefault="004F655B">
      <w:pPr>
        <w:pStyle w:val="TOC1"/>
        <w:rPr>
          <w:rFonts w:asciiTheme="minorHAnsi" w:eastAsiaTheme="minorEastAsia" w:hAnsiTheme="minorHAnsi" w:cstheme="minorBidi"/>
          <w:noProof/>
          <w:kern w:val="2"/>
          <w14:ligatures w14:val="standardContextual"/>
        </w:rPr>
      </w:pPr>
      <w:hyperlink w:anchor="_Toc207109651" w:history="1">
        <w:r w:rsidR="00CC3886" w:rsidRPr="00D36CBB">
          <w:rPr>
            <w:rStyle w:val="Hyperlink"/>
            <w:rFonts w:eastAsiaTheme="majorEastAsia"/>
            <w:noProof/>
          </w:rPr>
          <w:t>FACTS</w:t>
        </w:r>
        <w:r w:rsidR="00CC3886">
          <w:rPr>
            <w:noProof/>
            <w:webHidden/>
          </w:rPr>
          <w:tab/>
        </w:r>
        <w:r w:rsidR="00CC3886">
          <w:rPr>
            <w:noProof/>
            <w:webHidden/>
          </w:rPr>
          <w:fldChar w:fldCharType="begin"/>
        </w:r>
        <w:r w:rsidR="00CC3886">
          <w:rPr>
            <w:noProof/>
            <w:webHidden/>
          </w:rPr>
          <w:instrText xml:space="preserve"> PAGEREF _Toc207109651 \h </w:instrText>
        </w:r>
        <w:r w:rsidR="00CC3886">
          <w:rPr>
            <w:noProof/>
            <w:webHidden/>
          </w:rPr>
        </w:r>
        <w:r w:rsidR="00CC3886">
          <w:rPr>
            <w:noProof/>
            <w:webHidden/>
          </w:rPr>
          <w:fldChar w:fldCharType="separate"/>
        </w:r>
        <w:r w:rsidR="00240C20">
          <w:rPr>
            <w:noProof/>
            <w:webHidden/>
          </w:rPr>
          <w:t>8</w:t>
        </w:r>
        <w:r w:rsidR="00CC3886">
          <w:rPr>
            <w:noProof/>
            <w:webHidden/>
          </w:rPr>
          <w:fldChar w:fldCharType="end"/>
        </w:r>
      </w:hyperlink>
    </w:p>
    <w:p w14:paraId="30D13CB4" w14:textId="26816B29" w:rsidR="00CC3886" w:rsidRDefault="004F655B">
      <w:pPr>
        <w:pStyle w:val="TOC2"/>
        <w:rPr>
          <w:rFonts w:asciiTheme="minorHAnsi" w:eastAsiaTheme="minorEastAsia" w:hAnsiTheme="minorHAnsi" w:cstheme="minorBidi"/>
          <w:noProof/>
          <w:kern w:val="2"/>
          <w14:ligatures w14:val="standardContextual"/>
        </w:rPr>
      </w:pPr>
      <w:hyperlink w:anchor="_Toc207109652" w:history="1">
        <w:r w:rsidR="00CC3886" w:rsidRPr="00D36CBB">
          <w:rPr>
            <w:rStyle w:val="Hyperlink"/>
            <w:rFonts w:eastAsiaTheme="majorEastAsia"/>
            <w:noProof/>
          </w:rPr>
          <w:t>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History of Submetering at the Affected Buildings (2008-2011)</w:t>
        </w:r>
        <w:r w:rsidR="00CC3886">
          <w:rPr>
            <w:noProof/>
            <w:webHidden/>
          </w:rPr>
          <w:tab/>
        </w:r>
        <w:r w:rsidR="00CC3886">
          <w:rPr>
            <w:noProof/>
            <w:webHidden/>
          </w:rPr>
          <w:fldChar w:fldCharType="begin"/>
        </w:r>
        <w:r w:rsidR="00CC3886">
          <w:rPr>
            <w:noProof/>
            <w:webHidden/>
          </w:rPr>
          <w:instrText xml:space="preserve"> PAGEREF _Toc207109652 \h </w:instrText>
        </w:r>
        <w:r w:rsidR="00CC3886">
          <w:rPr>
            <w:noProof/>
            <w:webHidden/>
          </w:rPr>
        </w:r>
        <w:r w:rsidR="00CC3886">
          <w:rPr>
            <w:noProof/>
            <w:webHidden/>
          </w:rPr>
          <w:fldChar w:fldCharType="separate"/>
        </w:r>
        <w:r w:rsidR="00240C20">
          <w:rPr>
            <w:noProof/>
            <w:webHidden/>
          </w:rPr>
          <w:t>8</w:t>
        </w:r>
        <w:r w:rsidR="00CC3886">
          <w:rPr>
            <w:noProof/>
            <w:webHidden/>
          </w:rPr>
          <w:fldChar w:fldCharType="end"/>
        </w:r>
      </w:hyperlink>
    </w:p>
    <w:p w14:paraId="6612A2AA" w14:textId="5B295777" w:rsidR="00CC3886" w:rsidRDefault="004F655B">
      <w:pPr>
        <w:pStyle w:val="TOC2"/>
        <w:rPr>
          <w:rFonts w:asciiTheme="minorHAnsi" w:eastAsiaTheme="minorEastAsia" w:hAnsiTheme="minorHAnsi" w:cstheme="minorBidi"/>
          <w:noProof/>
          <w:kern w:val="2"/>
          <w14:ligatures w14:val="standardContextual"/>
        </w:rPr>
      </w:pPr>
      <w:hyperlink w:anchor="_Toc207109653" w:history="1">
        <w:r w:rsidR="00CC3886" w:rsidRPr="00D36CBB">
          <w:rPr>
            <w:rStyle w:val="Hyperlink"/>
            <w:rFonts w:eastAsiaTheme="majorEastAsia"/>
            <w:noProof/>
          </w:rPr>
          <w:t>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PSC’s 2011 Conditional Order</w:t>
        </w:r>
        <w:r w:rsidR="00CC3886">
          <w:rPr>
            <w:noProof/>
            <w:webHidden/>
          </w:rPr>
          <w:tab/>
        </w:r>
        <w:r w:rsidR="00CC3886">
          <w:rPr>
            <w:noProof/>
            <w:webHidden/>
          </w:rPr>
          <w:fldChar w:fldCharType="begin"/>
        </w:r>
        <w:r w:rsidR="00CC3886">
          <w:rPr>
            <w:noProof/>
            <w:webHidden/>
          </w:rPr>
          <w:instrText xml:space="preserve"> PAGEREF _Toc207109653 \h </w:instrText>
        </w:r>
        <w:r w:rsidR="00CC3886">
          <w:rPr>
            <w:noProof/>
            <w:webHidden/>
          </w:rPr>
        </w:r>
        <w:r w:rsidR="00CC3886">
          <w:rPr>
            <w:noProof/>
            <w:webHidden/>
          </w:rPr>
          <w:fldChar w:fldCharType="separate"/>
        </w:r>
        <w:r w:rsidR="00240C20">
          <w:rPr>
            <w:noProof/>
            <w:webHidden/>
          </w:rPr>
          <w:t>10</w:t>
        </w:r>
        <w:r w:rsidR="00CC3886">
          <w:rPr>
            <w:noProof/>
            <w:webHidden/>
          </w:rPr>
          <w:fldChar w:fldCharType="end"/>
        </w:r>
      </w:hyperlink>
    </w:p>
    <w:p w14:paraId="73F74A2E" w14:textId="066EF43D" w:rsidR="00CC3886" w:rsidRDefault="004F655B">
      <w:pPr>
        <w:pStyle w:val="TOC2"/>
        <w:rPr>
          <w:rFonts w:asciiTheme="minorHAnsi" w:eastAsiaTheme="minorEastAsia" w:hAnsiTheme="minorHAnsi" w:cstheme="minorBidi"/>
          <w:noProof/>
          <w:kern w:val="2"/>
          <w14:ligatures w14:val="standardContextual"/>
        </w:rPr>
      </w:pPr>
      <w:hyperlink w:anchor="_Toc207109654" w:history="1">
        <w:r w:rsidR="00CC3886" w:rsidRPr="00D36CBB">
          <w:rPr>
            <w:rStyle w:val="Hyperlink"/>
            <w:rFonts w:eastAsiaTheme="majorEastAsia"/>
            <w:noProof/>
          </w:rPr>
          <w:t>III.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In 2024, the Landlord Petitioned to Resurrect the Expired 2011 Order</w:t>
        </w:r>
        <w:r w:rsidR="00CC3886">
          <w:rPr>
            <w:noProof/>
            <w:webHidden/>
          </w:rPr>
          <w:tab/>
        </w:r>
        <w:r w:rsidR="00CC3886">
          <w:rPr>
            <w:noProof/>
            <w:webHidden/>
          </w:rPr>
          <w:fldChar w:fldCharType="begin"/>
        </w:r>
        <w:r w:rsidR="00CC3886">
          <w:rPr>
            <w:noProof/>
            <w:webHidden/>
          </w:rPr>
          <w:instrText xml:space="preserve"> PAGEREF _Toc207109654 \h </w:instrText>
        </w:r>
        <w:r w:rsidR="00CC3886">
          <w:rPr>
            <w:noProof/>
            <w:webHidden/>
          </w:rPr>
        </w:r>
        <w:r w:rsidR="00CC3886">
          <w:rPr>
            <w:noProof/>
            <w:webHidden/>
          </w:rPr>
          <w:fldChar w:fldCharType="separate"/>
        </w:r>
        <w:r w:rsidR="00240C20">
          <w:rPr>
            <w:noProof/>
            <w:webHidden/>
          </w:rPr>
          <w:t>11</w:t>
        </w:r>
        <w:r w:rsidR="00CC3886">
          <w:rPr>
            <w:noProof/>
            <w:webHidden/>
          </w:rPr>
          <w:fldChar w:fldCharType="end"/>
        </w:r>
      </w:hyperlink>
    </w:p>
    <w:p w14:paraId="70E5B6F3" w14:textId="33934A23"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55"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2019 Regulatory Agreements.</w:t>
        </w:r>
        <w:r w:rsidR="00CC3886">
          <w:rPr>
            <w:noProof/>
            <w:webHidden/>
          </w:rPr>
          <w:tab/>
        </w:r>
        <w:r w:rsidR="00CC3886">
          <w:rPr>
            <w:noProof/>
            <w:webHidden/>
          </w:rPr>
          <w:fldChar w:fldCharType="begin"/>
        </w:r>
        <w:r w:rsidR="00CC3886">
          <w:rPr>
            <w:noProof/>
            <w:webHidden/>
          </w:rPr>
          <w:instrText xml:space="preserve"> PAGEREF _Toc207109655 \h </w:instrText>
        </w:r>
        <w:r w:rsidR="00CC3886">
          <w:rPr>
            <w:noProof/>
            <w:webHidden/>
          </w:rPr>
        </w:r>
        <w:r w:rsidR="00CC3886">
          <w:rPr>
            <w:noProof/>
            <w:webHidden/>
          </w:rPr>
          <w:fldChar w:fldCharType="separate"/>
        </w:r>
        <w:r w:rsidR="00240C20">
          <w:rPr>
            <w:noProof/>
            <w:webHidden/>
          </w:rPr>
          <w:t>11</w:t>
        </w:r>
        <w:r w:rsidR="00CC3886">
          <w:rPr>
            <w:noProof/>
            <w:webHidden/>
          </w:rPr>
          <w:fldChar w:fldCharType="end"/>
        </w:r>
      </w:hyperlink>
    </w:p>
    <w:p w14:paraId="37A88C60" w14:textId="11D113AB"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56"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Landlord’s 2024 Petition and the Tenants’ Response.</w:t>
        </w:r>
        <w:r w:rsidR="00CC3886">
          <w:rPr>
            <w:noProof/>
            <w:webHidden/>
          </w:rPr>
          <w:tab/>
        </w:r>
        <w:r w:rsidR="00CC3886">
          <w:rPr>
            <w:noProof/>
            <w:webHidden/>
          </w:rPr>
          <w:fldChar w:fldCharType="begin"/>
        </w:r>
        <w:r w:rsidR="00CC3886">
          <w:rPr>
            <w:noProof/>
            <w:webHidden/>
          </w:rPr>
          <w:instrText xml:space="preserve"> PAGEREF _Toc207109656 \h </w:instrText>
        </w:r>
        <w:r w:rsidR="00CC3886">
          <w:rPr>
            <w:noProof/>
            <w:webHidden/>
          </w:rPr>
        </w:r>
        <w:r w:rsidR="00CC3886">
          <w:rPr>
            <w:noProof/>
            <w:webHidden/>
          </w:rPr>
          <w:fldChar w:fldCharType="separate"/>
        </w:r>
        <w:r w:rsidR="00240C20">
          <w:rPr>
            <w:noProof/>
            <w:webHidden/>
          </w:rPr>
          <w:t>12</w:t>
        </w:r>
        <w:r w:rsidR="00CC3886">
          <w:rPr>
            <w:noProof/>
            <w:webHidden/>
          </w:rPr>
          <w:fldChar w:fldCharType="end"/>
        </w:r>
      </w:hyperlink>
    </w:p>
    <w:p w14:paraId="581E21B4" w14:textId="2D65B332" w:rsidR="00CC3886" w:rsidRDefault="004F655B">
      <w:pPr>
        <w:pStyle w:val="TOC2"/>
        <w:rPr>
          <w:rFonts w:asciiTheme="minorHAnsi" w:eastAsiaTheme="minorEastAsia" w:hAnsiTheme="minorHAnsi" w:cstheme="minorBidi"/>
          <w:noProof/>
          <w:kern w:val="2"/>
          <w14:ligatures w14:val="standardContextual"/>
        </w:rPr>
      </w:pPr>
      <w:hyperlink w:anchor="_Toc207109657" w:history="1">
        <w:r w:rsidR="00CC3886" w:rsidRPr="00D36CBB">
          <w:rPr>
            <w:rStyle w:val="Hyperlink"/>
            <w:rFonts w:eastAsiaTheme="majorEastAsia"/>
            <w:noProof/>
          </w:rPr>
          <w:t>IV.</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PSC’s 2025 Erroneous Order</w:t>
        </w:r>
        <w:r w:rsidR="00CC3886">
          <w:rPr>
            <w:noProof/>
            <w:webHidden/>
          </w:rPr>
          <w:tab/>
        </w:r>
        <w:r w:rsidR="00CC3886">
          <w:rPr>
            <w:noProof/>
            <w:webHidden/>
          </w:rPr>
          <w:fldChar w:fldCharType="begin"/>
        </w:r>
        <w:r w:rsidR="00CC3886">
          <w:rPr>
            <w:noProof/>
            <w:webHidden/>
          </w:rPr>
          <w:instrText xml:space="preserve"> PAGEREF _Toc207109657 \h </w:instrText>
        </w:r>
        <w:r w:rsidR="00CC3886">
          <w:rPr>
            <w:noProof/>
            <w:webHidden/>
          </w:rPr>
        </w:r>
        <w:r w:rsidR="00CC3886">
          <w:rPr>
            <w:noProof/>
            <w:webHidden/>
          </w:rPr>
          <w:fldChar w:fldCharType="separate"/>
        </w:r>
        <w:r w:rsidR="00240C20">
          <w:rPr>
            <w:noProof/>
            <w:webHidden/>
          </w:rPr>
          <w:t>13</w:t>
        </w:r>
        <w:r w:rsidR="00CC3886">
          <w:rPr>
            <w:noProof/>
            <w:webHidden/>
          </w:rPr>
          <w:fldChar w:fldCharType="end"/>
        </w:r>
      </w:hyperlink>
    </w:p>
    <w:p w14:paraId="16FFE6A3" w14:textId="3B34358C" w:rsidR="00CC3886" w:rsidRDefault="004F655B">
      <w:pPr>
        <w:pStyle w:val="TOC1"/>
        <w:rPr>
          <w:rFonts w:asciiTheme="minorHAnsi" w:eastAsiaTheme="minorEastAsia" w:hAnsiTheme="minorHAnsi" w:cstheme="minorBidi"/>
          <w:noProof/>
          <w:kern w:val="2"/>
          <w14:ligatures w14:val="standardContextual"/>
        </w:rPr>
      </w:pPr>
      <w:hyperlink w:anchor="_Toc207109658" w:history="1">
        <w:r w:rsidR="00CC3886" w:rsidRPr="00D36CBB">
          <w:rPr>
            <w:rStyle w:val="Hyperlink"/>
            <w:rFonts w:eastAsiaTheme="majorEastAsia"/>
            <w:noProof/>
          </w:rPr>
          <w:t>ARGUMENT</w:t>
        </w:r>
        <w:r w:rsidR="00CC3886">
          <w:rPr>
            <w:noProof/>
            <w:webHidden/>
          </w:rPr>
          <w:tab/>
        </w:r>
        <w:r w:rsidR="00CC3886">
          <w:rPr>
            <w:noProof/>
            <w:webHidden/>
          </w:rPr>
          <w:fldChar w:fldCharType="begin"/>
        </w:r>
        <w:r w:rsidR="00CC3886">
          <w:rPr>
            <w:noProof/>
            <w:webHidden/>
          </w:rPr>
          <w:instrText xml:space="preserve"> PAGEREF _Toc207109658 \h </w:instrText>
        </w:r>
        <w:r w:rsidR="00CC3886">
          <w:rPr>
            <w:noProof/>
            <w:webHidden/>
          </w:rPr>
        </w:r>
        <w:r w:rsidR="00CC3886">
          <w:rPr>
            <w:noProof/>
            <w:webHidden/>
          </w:rPr>
          <w:fldChar w:fldCharType="separate"/>
        </w:r>
        <w:r w:rsidR="00240C20">
          <w:rPr>
            <w:noProof/>
            <w:webHidden/>
          </w:rPr>
          <w:t>14</w:t>
        </w:r>
        <w:r w:rsidR="00CC3886">
          <w:rPr>
            <w:noProof/>
            <w:webHidden/>
          </w:rPr>
          <w:fldChar w:fldCharType="end"/>
        </w:r>
      </w:hyperlink>
    </w:p>
    <w:p w14:paraId="723FB26F" w14:textId="0E16A50E" w:rsidR="00CC3886" w:rsidRDefault="004F655B">
      <w:pPr>
        <w:pStyle w:val="TOC2"/>
        <w:rPr>
          <w:rFonts w:asciiTheme="minorHAnsi" w:eastAsiaTheme="minorEastAsia" w:hAnsiTheme="minorHAnsi" w:cstheme="minorBidi"/>
          <w:noProof/>
          <w:kern w:val="2"/>
          <w14:ligatures w14:val="standardContextual"/>
        </w:rPr>
      </w:pPr>
      <w:hyperlink w:anchor="_Toc207109659" w:history="1">
        <w:r w:rsidR="00CC3886" w:rsidRPr="00D36CBB">
          <w:rPr>
            <w:rStyle w:val="Hyperlink"/>
            <w:rFonts w:eastAsiaTheme="majorEastAsia"/>
            <w:noProof/>
          </w:rPr>
          <w:t>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 xml:space="preserve">The PSC’s 2025 Order Is without Jurisdiction, </w:t>
        </w:r>
        <w:r w:rsidR="00CC3886" w:rsidRPr="00D36CBB">
          <w:rPr>
            <w:rStyle w:val="Hyperlink"/>
            <w:rFonts w:eastAsiaTheme="majorEastAsia"/>
            <w:i/>
            <w:iCs/>
            <w:noProof/>
          </w:rPr>
          <w:t>Ultra Vires</w:t>
        </w:r>
        <w:r w:rsidR="00CC3886" w:rsidRPr="00D36CBB">
          <w:rPr>
            <w:rStyle w:val="Hyperlink"/>
            <w:rFonts w:eastAsiaTheme="majorEastAsia"/>
            <w:noProof/>
          </w:rPr>
          <w:t xml:space="preserve">, and </w:t>
        </w:r>
        <w:r w:rsidR="00CC3886" w:rsidRPr="00D36CBB">
          <w:rPr>
            <w:rStyle w:val="Hyperlink"/>
            <w:rFonts w:eastAsiaTheme="majorEastAsia"/>
            <w:i/>
            <w:iCs/>
            <w:noProof/>
          </w:rPr>
          <w:t>Void Ab Initio</w:t>
        </w:r>
        <w:r w:rsidR="00CC3886" w:rsidRPr="00D36CBB">
          <w:rPr>
            <w:rStyle w:val="Hyperlink"/>
            <w:rFonts w:eastAsiaTheme="majorEastAsia"/>
            <w:noProof/>
          </w:rPr>
          <w:t>.</w:t>
        </w:r>
        <w:r w:rsidR="00CC3886">
          <w:rPr>
            <w:noProof/>
            <w:webHidden/>
          </w:rPr>
          <w:tab/>
        </w:r>
        <w:r w:rsidR="00CC3886">
          <w:rPr>
            <w:noProof/>
            <w:webHidden/>
          </w:rPr>
          <w:fldChar w:fldCharType="begin"/>
        </w:r>
        <w:r w:rsidR="00CC3886">
          <w:rPr>
            <w:noProof/>
            <w:webHidden/>
          </w:rPr>
          <w:instrText xml:space="preserve"> PAGEREF _Toc207109659 \h </w:instrText>
        </w:r>
        <w:r w:rsidR="00CC3886">
          <w:rPr>
            <w:noProof/>
            <w:webHidden/>
          </w:rPr>
        </w:r>
        <w:r w:rsidR="00CC3886">
          <w:rPr>
            <w:noProof/>
            <w:webHidden/>
          </w:rPr>
          <w:fldChar w:fldCharType="separate"/>
        </w:r>
        <w:r w:rsidR="00240C20">
          <w:rPr>
            <w:noProof/>
            <w:webHidden/>
          </w:rPr>
          <w:t>14</w:t>
        </w:r>
        <w:r w:rsidR="00CC3886">
          <w:rPr>
            <w:noProof/>
            <w:webHidden/>
          </w:rPr>
          <w:fldChar w:fldCharType="end"/>
        </w:r>
      </w:hyperlink>
    </w:p>
    <w:p w14:paraId="10AD4782" w14:textId="06FB111D" w:rsidR="00CC3886" w:rsidRDefault="004F655B">
      <w:pPr>
        <w:pStyle w:val="TOC2"/>
        <w:rPr>
          <w:rFonts w:asciiTheme="minorHAnsi" w:eastAsiaTheme="minorEastAsia" w:hAnsiTheme="minorHAnsi" w:cstheme="minorBidi"/>
          <w:noProof/>
          <w:kern w:val="2"/>
          <w14:ligatures w14:val="standardContextual"/>
        </w:rPr>
      </w:pPr>
      <w:hyperlink w:anchor="_Toc207109660" w:history="1">
        <w:r w:rsidR="00CC3886" w:rsidRPr="00D36CBB">
          <w:rPr>
            <w:rStyle w:val="Hyperlink"/>
            <w:rFonts w:eastAsiaTheme="majorEastAsia"/>
            <w:noProof/>
          </w:rPr>
          <w:t>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Landlord’s 2024 Petition Was Time-Barred.</w:t>
        </w:r>
        <w:r w:rsidR="00CC3886">
          <w:rPr>
            <w:noProof/>
            <w:webHidden/>
          </w:rPr>
          <w:tab/>
        </w:r>
        <w:r w:rsidR="00CC3886">
          <w:rPr>
            <w:noProof/>
            <w:webHidden/>
          </w:rPr>
          <w:fldChar w:fldCharType="begin"/>
        </w:r>
        <w:r w:rsidR="00CC3886">
          <w:rPr>
            <w:noProof/>
            <w:webHidden/>
          </w:rPr>
          <w:instrText xml:space="preserve"> PAGEREF _Toc207109660 \h </w:instrText>
        </w:r>
        <w:r w:rsidR="00CC3886">
          <w:rPr>
            <w:noProof/>
            <w:webHidden/>
          </w:rPr>
        </w:r>
        <w:r w:rsidR="00CC3886">
          <w:rPr>
            <w:noProof/>
            <w:webHidden/>
          </w:rPr>
          <w:fldChar w:fldCharType="separate"/>
        </w:r>
        <w:r w:rsidR="00240C20">
          <w:rPr>
            <w:noProof/>
            <w:webHidden/>
          </w:rPr>
          <w:t>16</w:t>
        </w:r>
        <w:r w:rsidR="00CC3886">
          <w:rPr>
            <w:noProof/>
            <w:webHidden/>
          </w:rPr>
          <w:fldChar w:fldCharType="end"/>
        </w:r>
      </w:hyperlink>
    </w:p>
    <w:p w14:paraId="629D1161" w14:textId="7EB3CE40" w:rsidR="00CC3886" w:rsidRDefault="004F655B">
      <w:pPr>
        <w:pStyle w:val="TOC2"/>
        <w:rPr>
          <w:rFonts w:asciiTheme="minorHAnsi" w:eastAsiaTheme="minorEastAsia" w:hAnsiTheme="minorHAnsi" w:cstheme="minorBidi"/>
          <w:noProof/>
          <w:kern w:val="2"/>
          <w14:ligatures w14:val="standardContextual"/>
        </w:rPr>
      </w:pPr>
      <w:hyperlink w:anchor="_Toc207109661" w:history="1">
        <w:r w:rsidR="00CC3886" w:rsidRPr="00D36CBB">
          <w:rPr>
            <w:rStyle w:val="Hyperlink"/>
            <w:rFonts w:eastAsiaTheme="majorEastAsia"/>
            <w:noProof/>
          </w:rPr>
          <w:t>III.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PSC’s 2025 Order Violated Part 96’s Substantive Protections</w:t>
        </w:r>
        <w:r w:rsidR="00CC3886">
          <w:rPr>
            <w:noProof/>
            <w:webHidden/>
          </w:rPr>
          <w:tab/>
        </w:r>
        <w:r w:rsidR="00CC3886">
          <w:rPr>
            <w:noProof/>
            <w:webHidden/>
          </w:rPr>
          <w:fldChar w:fldCharType="begin"/>
        </w:r>
        <w:r w:rsidR="00CC3886">
          <w:rPr>
            <w:noProof/>
            <w:webHidden/>
          </w:rPr>
          <w:instrText xml:space="preserve"> PAGEREF _Toc207109661 \h </w:instrText>
        </w:r>
        <w:r w:rsidR="00CC3886">
          <w:rPr>
            <w:noProof/>
            <w:webHidden/>
          </w:rPr>
        </w:r>
        <w:r w:rsidR="00CC3886">
          <w:rPr>
            <w:noProof/>
            <w:webHidden/>
          </w:rPr>
          <w:fldChar w:fldCharType="separate"/>
        </w:r>
        <w:r w:rsidR="00240C20">
          <w:rPr>
            <w:noProof/>
            <w:webHidden/>
          </w:rPr>
          <w:t>17</w:t>
        </w:r>
        <w:r w:rsidR="00CC3886">
          <w:rPr>
            <w:noProof/>
            <w:webHidden/>
          </w:rPr>
          <w:fldChar w:fldCharType="end"/>
        </w:r>
      </w:hyperlink>
    </w:p>
    <w:p w14:paraId="3EB09732" w14:textId="35B592DB" w:rsidR="00CC3886" w:rsidRDefault="004F655B">
      <w:pPr>
        <w:pStyle w:val="TOC2"/>
        <w:rPr>
          <w:rFonts w:asciiTheme="minorHAnsi" w:eastAsiaTheme="minorEastAsia" w:hAnsiTheme="minorHAnsi" w:cstheme="minorBidi"/>
          <w:noProof/>
          <w:kern w:val="2"/>
          <w14:ligatures w14:val="standardContextual"/>
        </w:rPr>
      </w:pPr>
      <w:hyperlink w:anchor="_Toc207109662" w:history="1">
        <w:r w:rsidR="00CC3886" w:rsidRPr="00D36CBB">
          <w:rPr>
            <w:rStyle w:val="Hyperlink"/>
            <w:rFonts w:eastAsiaTheme="majorEastAsia"/>
            <w:noProof/>
          </w:rPr>
          <w:t>IV.</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Disaggregation Is a False Premise that Shifts Heating Costs to Tenants</w:t>
        </w:r>
        <w:r w:rsidR="00CC3886">
          <w:rPr>
            <w:noProof/>
            <w:webHidden/>
          </w:rPr>
          <w:tab/>
        </w:r>
        <w:r w:rsidR="00CC3886">
          <w:rPr>
            <w:noProof/>
            <w:webHidden/>
          </w:rPr>
          <w:fldChar w:fldCharType="begin"/>
        </w:r>
        <w:r w:rsidR="00CC3886">
          <w:rPr>
            <w:noProof/>
            <w:webHidden/>
          </w:rPr>
          <w:instrText xml:space="preserve"> PAGEREF _Toc207109662 \h </w:instrText>
        </w:r>
        <w:r w:rsidR="00CC3886">
          <w:rPr>
            <w:noProof/>
            <w:webHidden/>
          </w:rPr>
        </w:r>
        <w:r w:rsidR="00CC3886">
          <w:rPr>
            <w:noProof/>
            <w:webHidden/>
          </w:rPr>
          <w:fldChar w:fldCharType="separate"/>
        </w:r>
        <w:r w:rsidR="00240C20">
          <w:rPr>
            <w:noProof/>
            <w:webHidden/>
          </w:rPr>
          <w:t>19</w:t>
        </w:r>
        <w:r w:rsidR="00CC3886">
          <w:rPr>
            <w:noProof/>
            <w:webHidden/>
          </w:rPr>
          <w:fldChar w:fldCharType="end"/>
        </w:r>
      </w:hyperlink>
    </w:p>
    <w:p w14:paraId="17A534A7" w14:textId="676F073C"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3"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Record Shows the Baseboard Heating System Is Defective.</w:t>
        </w:r>
        <w:r w:rsidR="00CC3886">
          <w:rPr>
            <w:noProof/>
            <w:webHidden/>
          </w:rPr>
          <w:tab/>
        </w:r>
        <w:r w:rsidR="00CC3886">
          <w:rPr>
            <w:noProof/>
            <w:webHidden/>
          </w:rPr>
          <w:fldChar w:fldCharType="begin"/>
        </w:r>
        <w:r w:rsidR="00CC3886">
          <w:rPr>
            <w:noProof/>
            <w:webHidden/>
          </w:rPr>
          <w:instrText xml:space="preserve"> PAGEREF _Toc207109663 \h </w:instrText>
        </w:r>
        <w:r w:rsidR="00CC3886">
          <w:rPr>
            <w:noProof/>
            <w:webHidden/>
          </w:rPr>
        </w:r>
        <w:r w:rsidR="00CC3886">
          <w:rPr>
            <w:noProof/>
            <w:webHidden/>
          </w:rPr>
          <w:fldChar w:fldCharType="separate"/>
        </w:r>
        <w:r w:rsidR="00240C20">
          <w:rPr>
            <w:noProof/>
            <w:webHidden/>
          </w:rPr>
          <w:t>19</w:t>
        </w:r>
        <w:r w:rsidR="00CC3886">
          <w:rPr>
            <w:noProof/>
            <w:webHidden/>
          </w:rPr>
          <w:fldChar w:fldCharType="end"/>
        </w:r>
      </w:hyperlink>
    </w:p>
    <w:p w14:paraId="37E1BC31" w14:textId="1A7D948C"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4"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Landlord’s Thermostat Claims Are False.</w:t>
        </w:r>
        <w:r w:rsidR="00CC3886">
          <w:rPr>
            <w:noProof/>
            <w:webHidden/>
          </w:rPr>
          <w:tab/>
        </w:r>
        <w:r w:rsidR="00CC3886">
          <w:rPr>
            <w:noProof/>
            <w:webHidden/>
          </w:rPr>
          <w:fldChar w:fldCharType="begin"/>
        </w:r>
        <w:r w:rsidR="00CC3886">
          <w:rPr>
            <w:noProof/>
            <w:webHidden/>
          </w:rPr>
          <w:instrText xml:space="preserve"> PAGEREF _Toc207109664 \h </w:instrText>
        </w:r>
        <w:r w:rsidR="00CC3886">
          <w:rPr>
            <w:noProof/>
            <w:webHidden/>
          </w:rPr>
        </w:r>
        <w:r w:rsidR="00CC3886">
          <w:rPr>
            <w:noProof/>
            <w:webHidden/>
          </w:rPr>
          <w:fldChar w:fldCharType="separate"/>
        </w:r>
        <w:r w:rsidR="00240C20">
          <w:rPr>
            <w:noProof/>
            <w:webHidden/>
          </w:rPr>
          <w:t>19</w:t>
        </w:r>
        <w:r w:rsidR="00CC3886">
          <w:rPr>
            <w:noProof/>
            <w:webHidden/>
          </w:rPr>
          <w:fldChar w:fldCharType="end"/>
        </w:r>
      </w:hyperlink>
    </w:p>
    <w:p w14:paraId="69FD6F40" w14:textId="69A489C2"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5"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Disaggregation Shifts Heating Costs to Tenants.</w:t>
        </w:r>
        <w:r w:rsidR="00CC3886">
          <w:rPr>
            <w:noProof/>
            <w:webHidden/>
          </w:rPr>
          <w:tab/>
        </w:r>
        <w:r w:rsidR="00CC3886">
          <w:rPr>
            <w:noProof/>
            <w:webHidden/>
          </w:rPr>
          <w:fldChar w:fldCharType="begin"/>
        </w:r>
        <w:r w:rsidR="00CC3886">
          <w:rPr>
            <w:noProof/>
            <w:webHidden/>
          </w:rPr>
          <w:instrText xml:space="preserve"> PAGEREF _Toc207109665 \h </w:instrText>
        </w:r>
        <w:r w:rsidR="00CC3886">
          <w:rPr>
            <w:noProof/>
            <w:webHidden/>
          </w:rPr>
        </w:r>
        <w:r w:rsidR="00CC3886">
          <w:rPr>
            <w:noProof/>
            <w:webHidden/>
          </w:rPr>
          <w:fldChar w:fldCharType="separate"/>
        </w:r>
        <w:r w:rsidR="00240C20">
          <w:rPr>
            <w:noProof/>
            <w:webHidden/>
          </w:rPr>
          <w:t>20</w:t>
        </w:r>
        <w:r w:rsidR="00CC3886">
          <w:rPr>
            <w:noProof/>
            <w:webHidden/>
          </w:rPr>
          <w:fldChar w:fldCharType="end"/>
        </w:r>
      </w:hyperlink>
    </w:p>
    <w:p w14:paraId="3AA1E715" w14:textId="59816A9E"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6"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Ignored the Record.</w:t>
        </w:r>
        <w:r w:rsidR="00CC3886">
          <w:rPr>
            <w:noProof/>
            <w:webHidden/>
          </w:rPr>
          <w:tab/>
        </w:r>
        <w:r w:rsidR="00CC3886">
          <w:rPr>
            <w:noProof/>
            <w:webHidden/>
          </w:rPr>
          <w:fldChar w:fldCharType="begin"/>
        </w:r>
        <w:r w:rsidR="00CC3886">
          <w:rPr>
            <w:noProof/>
            <w:webHidden/>
          </w:rPr>
          <w:instrText xml:space="preserve"> PAGEREF _Toc207109666 \h </w:instrText>
        </w:r>
        <w:r w:rsidR="00CC3886">
          <w:rPr>
            <w:noProof/>
            <w:webHidden/>
          </w:rPr>
        </w:r>
        <w:r w:rsidR="00CC3886">
          <w:rPr>
            <w:noProof/>
            <w:webHidden/>
          </w:rPr>
          <w:fldChar w:fldCharType="separate"/>
        </w:r>
        <w:r w:rsidR="00240C20">
          <w:rPr>
            <w:noProof/>
            <w:webHidden/>
          </w:rPr>
          <w:t>20</w:t>
        </w:r>
        <w:r w:rsidR="00CC3886">
          <w:rPr>
            <w:noProof/>
            <w:webHidden/>
          </w:rPr>
          <w:fldChar w:fldCharType="end"/>
        </w:r>
      </w:hyperlink>
    </w:p>
    <w:p w14:paraId="702ADBA1" w14:textId="4AB6612B"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7" w:history="1">
        <w:r w:rsidR="00CC3886" w:rsidRPr="00D36CBB">
          <w:rPr>
            <w:rStyle w:val="Hyperlink"/>
            <w:rFonts w:eastAsiaTheme="majorEastAsia"/>
            <w:noProof/>
          </w:rPr>
          <w:t>E.</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Harm to Tenants Is Real.</w:t>
        </w:r>
        <w:r w:rsidR="00CC3886">
          <w:rPr>
            <w:noProof/>
            <w:webHidden/>
          </w:rPr>
          <w:tab/>
        </w:r>
        <w:r w:rsidR="00CC3886">
          <w:rPr>
            <w:noProof/>
            <w:webHidden/>
          </w:rPr>
          <w:fldChar w:fldCharType="begin"/>
        </w:r>
        <w:r w:rsidR="00CC3886">
          <w:rPr>
            <w:noProof/>
            <w:webHidden/>
          </w:rPr>
          <w:instrText xml:space="preserve"> PAGEREF _Toc207109667 \h </w:instrText>
        </w:r>
        <w:r w:rsidR="00CC3886">
          <w:rPr>
            <w:noProof/>
            <w:webHidden/>
          </w:rPr>
        </w:r>
        <w:r w:rsidR="00CC3886">
          <w:rPr>
            <w:noProof/>
            <w:webHidden/>
          </w:rPr>
          <w:fldChar w:fldCharType="separate"/>
        </w:r>
        <w:r w:rsidR="00240C20">
          <w:rPr>
            <w:noProof/>
            <w:webHidden/>
          </w:rPr>
          <w:t>21</w:t>
        </w:r>
        <w:r w:rsidR="00CC3886">
          <w:rPr>
            <w:noProof/>
            <w:webHidden/>
          </w:rPr>
          <w:fldChar w:fldCharType="end"/>
        </w:r>
      </w:hyperlink>
    </w:p>
    <w:p w14:paraId="3738A8DF" w14:textId="7D84B7DA" w:rsidR="00CC3886" w:rsidRDefault="004F655B">
      <w:pPr>
        <w:pStyle w:val="TOC2"/>
        <w:rPr>
          <w:rFonts w:asciiTheme="minorHAnsi" w:eastAsiaTheme="minorEastAsia" w:hAnsiTheme="minorHAnsi" w:cstheme="minorBidi"/>
          <w:noProof/>
          <w:kern w:val="2"/>
          <w14:ligatures w14:val="standardContextual"/>
        </w:rPr>
      </w:pPr>
      <w:hyperlink w:anchor="_Toc207109668" w:history="1">
        <w:r w:rsidR="00CC3886" w:rsidRPr="00D36CBB">
          <w:rPr>
            <w:rStyle w:val="Hyperlink"/>
            <w:rFonts w:eastAsiaTheme="majorEastAsia"/>
            <w:noProof/>
          </w:rPr>
          <w:t>V.</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Collaborated with the Landlord</w:t>
        </w:r>
        <w:r w:rsidR="00CC3886">
          <w:rPr>
            <w:noProof/>
            <w:webHidden/>
          </w:rPr>
          <w:tab/>
        </w:r>
        <w:r w:rsidR="00CC3886">
          <w:rPr>
            <w:noProof/>
            <w:webHidden/>
          </w:rPr>
          <w:fldChar w:fldCharType="begin"/>
        </w:r>
        <w:r w:rsidR="00CC3886">
          <w:rPr>
            <w:noProof/>
            <w:webHidden/>
          </w:rPr>
          <w:instrText xml:space="preserve"> PAGEREF _Toc207109668 \h </w:instrText>
        </w:r>
        <w:r w:rsidR="00CC3886">
          <w:rPr>
            <w:noProof/>
            <w:webHidden/>
          </w:rPr>
        </w:r>
        <w:r w:rsidR="00CC3886">
          <w:rPr>
            <w:noProof/>
            <w:webHidden/>
          </w:rPr>
          <w:fldChar w:fldCharType="separate"/>
        </w:r>
        <w:r w:rsidR="00240C20">
          <w:rPr>
            <w:noProof/>
            <w:webHidden/>
          </w:rPr>
          <w:t>21</w:t>
        </w:r>
        <w:r w:rsidR="00CC3886">
          <w:rPr>
            <w:noProof/>
            <w:webHidden/>
          </w:rPr>
          <w:fldChar w:fldCharType="end"/>
        </w:r>
      </w:hyperlink>
    </w:p>
    <w:p w14:paraId="13B356BF" w14:textId="54248036"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69"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Procedural Imbalance and One-Sided</w:t>
        </w:r>
        <w:r w:rsidR="00CC3886" w:rsidRPr="00D36CBB">
          <w:rPr>
            <w:rStyle w:val="Hyperlink"/>
            <w:rFonts w:eastAsiaTheme="majorEastAsia"/>
            <w:i/>
            <w:iCs/>
            <w:noProof/>
          </w:rPr>
          <w:t xml:space="preserve"> </w:t>
        </w:r>
        <w:r w:rsidR="00CC3886" w:rsidRPr="00D36CBB">
          <w:rPr>
            <w:rStyle w:val="Hyperlink"/>
            <w:rFonts w:eastAsiaTheme="majorEastAsia"/>
            <w:noProof/>
          </w:rPr>
          <w:t>Access.</w:t>
        </w:r>
        <w:r w:rsidR="00CC3886">
          <w:rPr>
            <w:noProof/>
            <w:webHidden/>
          </w:rPr>
          <w:tab/>
        </w:r>
        <w:r w:rsidR="00CC3886">
          <w:rPr>
            <w:noProof/>
            <w:webHidden/>
          </w:rPr>
          <w:fldChar w:fldCharType="begin"/>
        </w:r>
        <w:r w:rsidR="00CC3886">
          <w:rPr>
            <w:noProof/>
            <w:webHidden/>
          </w:rPr>
          <w:instrText xml:space="preserve"> PAGEREF _Toc207109669 \h </w:instrText>
        </w:r>
        <w:r w:rsidR="00CC3886">
          <w:rPr>
            <w:noProof/>
            <w:webHidden/>
          </w:rPr>
        </w:r>
        <w:r w:rsidR="00CC3886">
          <w:rPr>
            <w:noProof/>
            <w:webHidden/>
          </w:rPr>
          <w:fldChar w:fldCharType="separate"/>
        </w:r>
        <w:r w:rsidR="00240C20">
          <w:rPr>
            <w:noProof/>
            <w:webHidden/>
          </w:rPr>
          <w:t>21</w:t>
        </w:r>
        <w:r w:rsidR="00CC3886">
          <w:rPr>
            <w:noProof/>
            <w:webHidden/>
          </w:rPr>
          <w:fldChar w:fldCharType="end"/>
        </w:r>
      </w:hyperlink>
    </w:p>
    <w:p w14:paraId="621387CB" w14:textId="118B7CF6"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0"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Tenants Were Denied Due Process.</w:t>
        </w:r>
        <w:r w:rsidR="00CC3886">
          <w:rPr>
            <w:noProof/>
            <w:webHidden/>
          </w:rPr>
          <w:tab/>
        </w:r>
        <w:r w:rsidR="00CC3886">
          <w:rPr>
            <w:noProof/>
            <w:webHidden/>
          </w:rPr>
          <w:fldChar w:fldCharType="begin"/>
        </w:r>
        <w:r w:rsidR="00CC3886">
          <w:rPr>
            <w:noProof/>
            <w:webHidden/>
          </w:rPr>
          <w:instrText xml:space="preserve"> PAGEREF _Toc207109670 \h </w:instrText>
        </w:r>
        <w:r w:rsidR="00CC3886">
          <w:rPr>
            <w:noProof/>
            <w:webHidden/>
          </w:rPr>
        </w:r>
        <w:r w:rsidR="00CC3886">
          <w:rPr>
            <w:noProof/>
            <w:webHidden/>
          </w:rPr>
          <w:fldChar w:fldCharType="separate"/>
        </w:r>
        <w:r w:rsidR="00240C20">
          <w:rPr>
            <w:noProof/>
            <w:webHidden/>
          </w:rPr>
          <w:t>22</w:t>
        </w:r>
        <w:r w:rsidR="00CC3886">
          <w:rPr>
            <w:noProof/>
            <w:webHidden/>
          </w:rPr>
          <w:fldChar w:fldCharType="end"/>
        </w:r>
      </w:hyperlink>
    </w:p>
    <w:p w14:paraId="224D6F9C" w14:textId="1F819AE8"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1"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Adopted and/or Encouraged the Fiction of “Clarification”.</w:t>
        </w:r>
        <w:r w:rsidR="00CC3886">
          <w:rPr>
            <w:noProof/>
            <w:webHidden/>
          </w:rPr>
          <w:tab/>
        </w:r>
        <w:r w:rsidR="00CC3886">
          <w:rPr>
            <w:noProof/>
            <w:webHidden/>
          </w:rPr>
          <w:fldChar w:fldCharType="begin"/>
        </w:r>
        <w:r w:rsidR="00CC3886">
          <w:rPr>
            <w:noProof/>
            <w:webHidden/>
          </w:rPr>
          <w:instrText xml:space="preserve"> PAGEREF _Toc207109671 \h </w:instrText>
        </w:r>
        <w:r w:rsidR="00CC3886">
          <w:rPr>
            <w:noProof/>
            <w:webHidden/>
          </w:rPr>
        </w:r>
        <w:r w:rsidR="00CC3886">
          <w:rPr>
            <w:noProof/>
            <w:webHidden/>
          </w:rPr>
          <w:fldChar w:fldCharType="separate"/>
        </w:r>
        <w:r w:rsidR="00240C20">
          <w:rPr>
            <w:noProof/>
            <w:webHidden/>
          </w:rPr>
          <w:t>23</w:t>
        </w:r>
        <w:r w:rsidR="00CC3886">
          <w:rPr>
            <w:noProof/>
            <w:webHidden/>
          </w:rPr>
          <w:fldChar w:fldCharType="end"/>
        </w:r>
      </w:hyperlink>
    </w:p>
    <w:p w14:paraId="0FBF66A0" w14:textId="5AB68FEE"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2"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Relied on Secret Evidence.</w:t>
        </w:r>
        <w:r w:rsidR="00CC3886">
          <w:rPr>
            <w:noProof/>
            <w:webHidden/>
          </w:rPr>
          <w:tab/>
        </w:r>
        <w:r w:rsidR="00CC3886">
          <w:rPr>
            <w:noProof/>
            <w:webHidden/>
          </w:rPr>
          <w:fldChar w:fldCharType="begin"/>
        </w:r>
        <w:r w:rsidR="00CC3886">
          <w:rPr>
            <w:noProof/>
            <w:webHidden/>
          </w:rPr>
          <w:instrText xml:space="preserve"> PAGEREF _Toc207109672 \h </w:instrText>
        </w:r>
        <w:r w:rsidR="00CC3886">
          <w:rPr>
            <w:noProof/>
            <w:webHidden/>
          </w:rPr>
        </w:r>
        <w:r w:rsidR="00CC3886">
          <w:rPr>
            <w:noProof/>
            <w:webHidden/>
          </w:rPr>
          <w:fldChar w:fldCharType="separate"/>
        </w:r>
        <w:r w:rsidR="00240C20">
          <w:rPr>
            <w:noProof/>
            <w:webHidden/>
          </w:rPr>
          <w:t>24</w:t>
        </w:r>
        <w:r w:rsidR="00CC3886">
          <w:rPr>
            <w:noProof/>
            <w:webHidden/>
          </w:rPr>
          <w:fldChar w:fldCharType="end"/>
        </w:r>
      </w:hyperlink>
    </w:p>
    <w:p w14:paraId="3CD0CF62" w14:textId="6175F3ED"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3" w:history="1">
        <w:r w:rsidR="00CC3886" w:rsidRPr="00D36CBB">
          <w:rPr>
            <w:rStyle w:val="Hyperlink"/>
            <w:rFonts w:eastAsiaTheme="majorEastAsia"/>
            <w:noProof/>
          </w:rPr>
          <w:t>E.</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Abandoned Neutrality.</w:t>
        </w:r>
        <w:r w:rsidR="00CC3886">
          <w:rPr>
            <w:noProof/>
            <w:webHidden/>
          </w:rPr>
          <w:tab/>
        </w:r>
        <w:r w:rsidR="00CC3886">
          <w:rPr>
            <w:noProof/>
            <w:webHidden/>
          </w:rPr>
          <w:fldChar w:fldCharType="begin"/>
        </w:r>
        <w:r w:rsidR="00CC3886">
          <w:rPr>
            <w:noProof/>
            <w:webHidden/>
          </w:rPr>
          <w:instrText xml:space="preserve"> PAGEREF _Toc207109673 \h </w:instrText>
        </w:r>
        <w:r w:rsidR="00CC3886">
          <w:rPr>
            <w:noProof/>
            <w:webHidden/>
          </w:rPr>
        </w:r>
        <w:r w:rsidR="00CC3886">
          <w:rPr>
            <w:noProof/>
            <w:webHidden/>
          </w:rPr>
          <w:fldChar w:fldCharType="separate"/>
        </w:r>
        <w:r w:rsidR="00240C20">
          <w:rPr>
            <w:noProof/>
            <w:webHidden/>
          </w:rPr>
          <w:t>24</w:t>
        </w:r>
        <w:r w:rsidR="00CC3886">
          <w:rPr>
            <w:noProof/>
            <w:webHidden/>
          </w:rPr>
          <w:fldChar w:fldCharType="end"/>
        </w:r>
      </w:hyperlink>
    </w:p>
    <w:p w14:paraId="31B0B27A" w14:textId="14C94C5D" w:rsidR="00CC3886" w:rsidRDefault="004F655B">
      <w:pPr>
        <w:pStyle w:val="TOC2"/>
        <w:rPr>
          <w:rFonts w:asciiTheme="minorHAnsi" w:eastAsiaTheme="minorEastAsia" w:hAnsiTheme="minorHAnsi" w:cstheme="minorBidi"/>
          <w:noProof/>
          <w:kern w:val="2"/>
          <w14:ligatures w14:val="standardContextual"/>
        </w:rPr>
      </w:pPr>
      <w:hyperlink w:anchor="_Toc207109674" w:history="1">
        <w:r w:rsidR="00CC3886" w:rsidRPr="00D36CBB">
          <w:rPr>
            <w:rStyle w:val="Hyperlink"/>
            <w:rFonts w:eastAsiaTheme="majorEastAsia"/>
            <w:noProof/>
          </w:rPr>
          <w:t>VI.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Appearance of Bias Alone Is Sufficient to Warrant Vacatur</w:t>
        </w:r>
        <w:r w:rsidR="00CC3886">
          <w:rPr>
            <w:noProof/>
            <w:webHidden/>
          </w:rPr>
          <w:tab/>
        </w:r>
        <w:r w:rsidR="00CC3886">
          <w:rPr>
            <w:noProof/>
            <w:webHidden/>
          </w:rPr>
          <w:fldChar w:fldCharType="begin"/>
        </w:r>
        <w:r w:rsidR="00CC3886">
          <w:rPr>
            <w:noProof/>
            <w:webHidden/>
          </w:rPr>
          <w:instrText xml:space="preserve"> PAGEREF _Toc207109674 \h </w:instrText>
        </w:r>
        <w:r w:rsidR="00CC3886">
          <w:rPr>
            <w:noProof/>
            <w:webHidden/>
          </w:rPr>
        </w:r>
        <w:r w:rsidR="00CC3886">
          <w:rPr>
            <w:noProof/>
            <w:webHidden/>
          </w:rPr>
          <w:fldChar w:fldCharType="separate"/>
        </w:r>
        <w:r w:rsidR="00240C20">
          <w:rPr>
            <w:noProof/>
            <w:webHidden/>
          </w:rPr>
          <w:t>25</w:t>
        </w:r>
        <w:r w:rsidR="00CC3886">
          <w:rPr>
            <w:noProof/>
            <w:webHidden/>
          </w:rPr>
          <w:fldChar w:fldCharType="end"/>
        </w:r>
      </w:hyperlink>
    </w:p>
    <w:p w14:paraId="62BBBDEC" w14:textId="0F2C7054" w:rsidR="00CC3886" w:rsidRDefault="004F655B">
      <w:pPr>
        <w:pStyle w:val="TOC2"/>
        <w:tabs>
          <w:tab w:val="left" w:pos="1080"/>
        </w:tabs>
        <w:rPr>
          <w:rFonts w:asciiTheme="minorHAnsi" w:eastAsiaTheme="minorEastAsia" w:hAnsiTheme="minorHAnsi" w:cstheme="minorBidi"/>
          <w:noProof/>
          <w:kern w:val="2"/>
          <w14:ligatures w14:val="standardContextual"/>
        </w:rPr>
      </w:pPr>
      <w:hyperlink w:anchor="_Toc207109675" w:history="1">
        <w:r w:rsidR="00CC3886" w:rsidRPr="00D36CBB">
          <w:rPr>
            <w:rStyle w:val="Hyperlink"/>
            <w:rFonts w:eastAsiaTheme="majorEastAsia"/>
            <w:noProof/>
          </w:rPr>
          <w:t>VII.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Significant Legal and Factual Changes Render the 2025 Order Invalid</w:t>
        </w:r>
        <w:r w:rsidR="00CC3886">
          <w:rPr>
            <w:noProof/>
            <w:webHidden/>
          </w:rPr>
          <w:tab/>
        </w:r>
        <w:r w:rsidR="00CC3886">
          <w:rPr>
            <w:noProof/>
            <w:webHidden/>
          </w:rPr>
          <w:fldChar w:fldCharType="begin"/>
        </w:r>
        <w:r w:rsidR="00CC3886">
          <w:rPr>
            <w:noProof/>
            <w:webHidden/>
          </w:rPr>
          <w:instrText xml:space="preserve"> PAGEREF _Toc207109675 \h </w:instrText>
        </w:r>
        <w:r w:rsidR="00CC3886">
          <w:rPr>
            <w:noProof/>
            <w:webHidden/>
          </w:rPr>
        </w:r>
        <w:r w:rsidR="00CC3886">
          <w:rPr>
            <w:noProof/>
            <w:webHidden/>
          </w:rPr>
          <w:fldChar w:fldCharType="separate"/>
        </w:r>
        <w:r w:rsidR="00240C20">
          <w:rPr>
            <w:noProof/>
            <w:webHidden/>
          </w:rPr>
          <w:t>26</w:t>
        </w:r>
        <w:r w:rsidR="00CC3886">
          <w:rPr>
            <w:noProof/>
            <w:webHidden/>
          </w:rPr>
          <w:fldChar w:fldCharType="end"/>
        </w:r>
      </w:hyperlink>
    </w:p>
    <w:p w14:paraId="5771EB23" w14:textId="7DFFE91B"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6"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Unjust Claim Preclusion for Current Tenants.</w:t>
        </w:r>
        <w:r w:rsidR="00CC3886">
          <w:rPr>
            <w:noProof/>
            <w:webHidden/>
          </w:rPr>
          <w:tab/>
        </w:r>
        <w:r w:rsidR="00CC3886">
          <w:rPr>
            <w:noProof/>
            <w:webHidden/>
          </w:rPr>
          <w:fldChar w:fldCharType="begin"/>
        </w:r>
        <w:r w:rsidR="00CC3886">
          <w:rPr>
            <w:noProof/>
            <w:webHidden/>
          </w:rPr>
          <w:instrText xml:space="preserve"> PAGEREF _Toc207109676 \h </w:instrText>
        </w:r>
        <w:r w:rsidR="00CC3886">
          <w:rPr>
            <w:noProof/>
            <w:webHidden/>
          </w:rPr>
        </w:r>
        <w:r w:rsidR="00CC3886">
          <w:rPr>
            <w:noProof/>
            <w:webHidden/>
          </w:rPr>
          <w:fldChar w:fldCharType="separate"/>
        </w:r>
        <w:r w:rsidR="00240C20">
          <w:rPr>
            <w:noProof/>
            <w:webHidden/>
          </w:rPr>
          <w:t>26</w:t>
        </w:r>
        <w:r w:rsidR="00CC3886">
          <w:rPr>
            <w:noProof/>
            <w:webHidden/>
          </w:rPr>
          <w:fldChar w:fldCharType="end"/>
        </w:r>
      </w:hyperlink>
    </w:p>
    <w:p w14:paraId="485686D7" w14:textId="29111342"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7"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2019 Regulatory Agreements Created New Obligations.</w:t>
        </w:r>
        <w:r w:rsidR="00CC3886">
          <w:rPr>
            <w:noProof/>
            <w:webHidden/>
          </w:rPr>
          <w:tab/>
        </w:r>
        <w:r w:rsidR="00CC3886">
          <w:rPr>
            <w:noProof/>
            <w:webHidden/>
          </w:rPr>
          <w:fldChar w:fldCharType="begin"/>
        </w:r>
        <w:r w:rsidR="00CC3886">
          <w:rPr>
            <w:noProof/>
            <w:webHidden/>
          </w:rPr>
          <w:instrText xml:space="preserve"> PAGEREF _Toc207109677 \h </w:instrText>
        </w:r>
        <w:r w:rsidR="00CC3886">
          <w:rPr>
            <w:noProof/>
            <w:webHidden/>
          </w:rPr>
        </w:r>
        <w:r w:rsidR="00CC3886">
          <w:rPr>
            <w:noProof/>
            <w:webHidden/>
          </w:rPr>
          <w:fldChar w:fldCharType="separate"/>
        </w:r>
        <w:r w:rsidR="00240C20">
          <w:rPr>
            <w:noProof/>
            <w:webHidden/>
          </w:rPr>
          <w:t>27</w:t>
        </w:r>
        <w:r w:rsidR="00CC3886">
          <w:rPr>
            <w:noProof/>
            <w:webHidden/>
          </w:rPr>
          <w:fldChar w:fldCharType="end"/>
        </w:r>
      </w:hyperlink>
    </w:p>
    <w:p w14:paraId="3A7FB9E0" w14:textId="57D4E424"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8"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Public Service Law Changed in 2024.</w:t>
        </w:r>
        <w:r w:rsidR="00CC3886">
          <w:rPr>
            <w:noProof/>
            <w:webHidden/>
          </w:rPr>
          <w:tab/>
        </w:r>
        <w:r w:rsidR="00CC3886">
          <w:rPr>
            <w:noProof/>
            <w:webHidden/>
          </w:rPr>
          <w:fldChar w:fldCharType="begin"/>
        </w:r>
        <w:r w:rsidR="00CC3886">
          <w:rPr>
            <w:noProof/>
            <w:webHidden/>
          </w:rPr>
          <w:instrText xml:space="preserve"> PAGEREF _Toc207109678 \h </w:instrText>
        </w:r>
        <w:r w:rsidR="00CC3886">
          <w:rPr>
            <w:noProof/>
            <w:webHidden/>
          </w:rPr>
        </w:r>
        <w:r w:rsidR="00CC3886">
          <w:rPr>
            <w:noProof/>
            <w:webHidden/>
          </w:rPr>
          <w:fldChar w:fldCharType="separate"/>
        </w:r>
        <w:r w:rsidR="00240C20">
          <w:rPr>
            <w:noProof/>
            <w:webHidden/>
          </w:rPr>
          <w:t>27</w:t>
        </w:r>
        <w:r w:rsidR="00CC3886">
          <w:rPr>
            <w:noProof/>
            <w:webHidden/>
          </w:rPr>
          <w:fldChar w:fldCharType="end"/>
        </w:r>
      </w:hyperlink>
    </w:p>
    <w:p w14:paraId="510AA310" w14:textId="66D85803"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79"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Good Cause Eviction Law Was Enacted in 2023.</w:t>
        </w:r>
        <w:r w:rsidR="00CC3886">
          <w:rPr>
            <w:noProof/>
            <w:webHidden/>
          </w:rPr>
          <w:tab/>
        </w:r>
        <w:r w:rsidR="00CC3886">
          <w:rPr>
            <w:noProof/>
            <w:webHidden/>
          </w:rPr>
          <w:fldChar w:fldCharType="begin"/>
        </w:r>
        <w:r w:rsidR="00CC3886">
          <w:rPr>
            <w:noProof/>
            <w:webHidden/>
          </w:rPr>
          <w:instrText xml:space="preserve"> PAGEREF _Toc207109679 \h </w:instrText>
        </w:r>
        <w:r w:rsidR="00CC3886">
          <w:rPr>
            <w:noProof/>
            <w:webHidden/>
          </w:rPr>
        </w:r>
        <w:r w:rsidR="00CC3886">
          <w:rPr>
            <w:noProof/>
            <w:webHidden/>
          </w:rPr>
          <w:fldChar w:fldCharType="separate"/>
        </w:r>
        <w:r w:rsidR="00240C20">
          <w:rPr>
            <w:noProof/>
            <w:webHidden/>
          </w:rPr>
          <w:t>28</w:t>
        </w:r>
        <w:r w:rsidR="00CC3886">
          <w:rPr>
            <w:noProof/>
            <w:webHidden/>
          </w:rPr>
          <w:fldChar w:fldCharType="end"/>
        </w:r>
      </w:hyperlink>
    </w:p>
    <w:p w14:paraId="201E6ABD" w14:textId="0C38AC92"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0" w:history="1">
        <w:r w:rsidR="00CC3886" w:rsidRPr="00D36CBB">
          <w:rPr>
            <w:rStyle w:val="Hyperlink"/>
            <w:rFonts w:eastAsiaTheme="majorEastAsia"/>
            <w:noProof/>
          </w:rPr>
          <w:t>E.</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Conclusion.</w:t>
        </w:r>
        <w:r w:rsidR="00CC3886">
          <w:rPr>
            <w:noProof/>
            <w:webHidden/>
          </w:rPr>
          <w:tab/>
        </w:r>
        <w:r w:rsidR="00CC3886">
          <w:rPr>
            <w:noProof/>
            <w:webHidden/>
          </w:rPr>
          <w:fldChar w:fldCharType="begin"/>
        </w:r>
        <w:r w:rsidR="00CC3886">
          <w:rPr>
            <w:noProof/>
            <w:webHidden/>
          </w:rPr>
          <w:instrText xml:space="preserve"> PAGEREF _Toc207109680 \h </w:instrText>
        </w:r>
        <w:r w:rsidR="00CC3886">
          <w:rPr>
            <w:noProof/>
            <w:webHidden/>
          </w:rPr>
        </w:r>
        <w:r w:rsidR="00CC3886">
          <w:rPr>
            <w:noProof/>
            <w:webHidden/>
          </w:rPr>
          <w:fldChar w:fldCharType="separate"/>
        </w:r>
        <w:r w:rsidR="00240C20">
          <w:rPr>
            <w:noProof/>
            <w:webHidden/>
          </w:rPr>
          <w:t>28</w:t>
        </w:r>
        <w:r w:rsidR="00CC3886">
          <w:rPr>
            <w:noProof/>
            <w:webHidden/>
          </w:rPr>
          <w:fldChar w:fldCharType="end"/>
        </w:r>
      </w:hyperlink>
    </w:p>
    <w:p w14:paraId="49F1AAE7" w14:textId="5EB5AC02" w:rsidR="00CC3886" w:rsidRDefault="004F655B">
      <w:pPr>
        <w:pStyle w:val="TOC2"/>
        <w:tabs>
          <w:tab w:val="left" w:pos="1080"/>
        </w:tabs>
        <w:rPr>
          <w:rFonts w:asciiTheme="minorHAnsi" w:eastAsiaTheme="minorEastAsia" w:hAnsiTheme="minorHAnsi" w:cstheme="minorBidi"/>
          <w:noProof/>
          <w:kern w:val="2"/>
          <w14:ligatures w14:val="standardContextual"/>
        </w:rPr>
      </w:pPr>
      <w:hyperlink w:anchor="_Toc207109681" w:history="1">
        <w:r w:rsidR="00CC3886" w:rsidRPr="00D36CBB">
          <w:rPr>
            <w:rStyle w:val="Hyperlink"/>
            <w:rFonts w:eastAsiaTheme="majorEastAsia"/>
            <w:noProof/>
          </w:rPr>
          <w:t>VIII.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Commission Applied an Obsolete Financial Harm Test from 2009</w:t>
        </w:r>
        <w:r w:rsidR="00CC3886">
          <w:rPr>
            <w:noProof/>
            <w:webHidden/>
          </w:rPr>
          <w:tab/>
        </w:r>
        <w:r w:rsidR="00CC3886">
          <w:rPr>
            <w:noProof/>
            <w:webHidden/>
          </w:rPr>
          <w:fldChar w:fldCharType="begin"/>
        </w:r>
        <w:r w:rsidR="00CC3886">
          <w:rPr>
            <w:noProof/>
            <w:webHidden/>
          </w:rPr>
          <w:instrText xml:space="preserve"> PAGEREF _Toc207109681 \h </w:instrText>
        </w:r>
        <w:r w:rsidR="00CC3886">
          <w:rPr>
            <w:noProof/>
            <w:webHidden/>
          </w:rPr>
        </w:r>
        <w:r w:rsidR="00CC3886">
          <w:rPr>
            <w:noProof/>
            <w:webHidden/>
          </w:rPr>
          <w:fldChar w:fldCharType="separate"/>
        </w:r>
        <w:r w:rsidR="00240C20">
          <w:rPr>
            <w:noProof/>
            <w:webHidden/>
          </w:rPr>
          <w:t>28</w:t>
        </w:r>
        <w:r w:rsidR="00CC3886">
          <w:rPr>
            <w:noProof/>
            <w:webHidden/>
          </w:rPr>
          <w:fldChar w:fldCharType="end"/>
        </w:r>
      </w:hyperlink>
    </w:p>
    <w:p w14:paraId="57363C61" w14:textId="356C4C7C"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2"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Governing Law Has Changed.</w:t>
        </w:r>
        <w:r w:rsidR="00CC3886">
          <w:rPr>
            <w:noProof/>
            <w:webHidden/>
          </w:rPr>
          <w:tab/>
        </w:r>
        <w:r w:rsidR="00CC3886">
          <w:rPr>
            <w:noProof/>
            <w:webHidden/>
          </w:rPr>
          <w:fldChar w:fldCharType="begin"/>
        </w:r>
        <w:r w:rsidR="00CC3886">
          <w:rPr>
            <w:noProof/>
            <w:webHidden/>
          </w:rPr>
          <w:instrText xml:space="preserve"> PAGEREF _Toc207109682 \h </w:instrText>
        </w:r>
        <w:r w:rsidR="00CC3886">
          <w:rPr>
            <w:noProof/>
            <w:webHidden/>
          </w:rPr>
        </w:r>
        <w:r w:rsidR="00CC3886">
          <w:rPr>
            <w:noProof/>
            <w:webHidden/>
          </w:rPr>
          <w:fldChar w:fldCharType="separate"/>
        </w:r>
        <w:r w:rsidR="00240C20">
          <w:rPr>
            <w:noProof/>
            <w:webHidden/>
          </w:rPr>
          <w:t>29</w:t>
        </w:r>
        <w:r w:rsidR="00CC3886">
          <w:rPr>
            <w:noProof/>
            <w:webHidden/>
          </w:rPr>
          <w:fldChar w:fldCharType="end"/>
        </w:r>
      </w:hyperlink>
    </w:p>
    <w:p w14:paraId="56B7349F" w14:textId="373D18BA"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3"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2011 Order Does Not Meet the Current Standard.</w:t>
        </w:r>
        <w:r w:rsidR="00CC3886">
          <w:rPr>
            <w:noProof/>
            <w:webHidden/>
          </w:rPr>
          <w:tab/>
        </w:r>
        <w:r w:rsidR="00CC3886">
          <w:rPr>
            <w:noProof/>
            <w:webHidden/>
          </w:rPr>
          <w:fldChar w:fldCharType="begin"/>
        </w:r>
        <w:r w:rsidR="00CC3886">
          <w:rPr>
            <w:noProof/>
            <w:webHidden/>
          </w:rPr>
          <w:instrText xml:space="preserve"> PAGEREF _Toc207109683 \h </w:instrText>
        </w:r>
        <w:r w:rsidR="00CC3886">
          <w:rPr>
            <w:noProof/>
            <w:webHidden/>
          </w:rPr>
        </w:r>
        <w:r w:rsidR="00CC3886">
          <w:rPr>
            <w:noProof/>
            <w:webHidden/>
          </w:rPr>
          <w:fldChar w:fldCharType="separate"/>
        </w:r>
        <w:r w:rsidR="00240C20">
          <w:rPr>
            <w:noProof/>
            <w:webHidden/>
          </w:rPr>
          <w:t>29</w:t>
        </w:r>
        <w:r w:rsidR="00CC3886">
          <w:rPr>
            <w:noProof/>
            <w:webHidden/>
          </w:rPr>
          <w:fldChar w:fldCharType="end"/>
        </w:r>
      </w:hyperlink>
    </w:p>
    <w:p w14:paraId="4D6A9A5E" w14:textId="6663D6EF"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4"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No Financial Harm Analysis Was Performed in 2025.</w:t>
        </w:r>
        <w:r w:rsidR="00CC3886">
          <w:rPr>
            <w:noProof/>
            <w:webHidden/>
          </w:rPr>
          <w:tab/>
        </w:r>
        <w:r w:rsidR="00CC3886">
          <w:rPr>
            <w:noProof/>
            <w:webHidden/>
          </w:rPr>
          <w:fldChar w:fldCharType="begin"/>
        </w:r>
        <w:r w:rsidR="00CC3886">
          <w:rPr>
            <w:noProof/>
            <w:webHidden/>
          </w:rPr>
          <w:instrText xml:space="preserve"> PAGEREF _Toc207109684 \h </w:instrText>
        </w:r>
        <w:r w:rsidR="00CC3886">
          <w:rPr>
            <w:noProof/>
            <w:webHidden/>
          </w:rPr>
        </w:r>
        <w:r w:rsidR="00CC3886">
          <w:rPr>
            <w:noProof/>
            <w:webHidden/>
          </w:rPr>
          <w:fldChar w:fldCharType="separate"/>
        </w:r>
        <w:r w:rsidR="00240C20">
          <w:rPr>
            <w:noProof/>
            <w:webHidden/>
          </w:rPr>
          <w:t>30</w:t>
        </w:r>
        <w:r w:rsidR="00CC3886">
          <w:rPr>
            <w:noProof/>
            <w:webHidden/>
          </w:rPr>
          <w:fldChar w:fldCharType="end"/>
        </w:r>
      </w:hyperlink>
    </w:p>
    <w:p w14:paraId="0DB0E37D" w14:textId="7CD7E0BB"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5"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Conclusion.</w:t>
        </w:r>
        <w:r w:rsidR="00CC3886">
          <w:rPr>
            <w:noProof/>
            <w:webHidden/>
          </w:rPr>
          <w:tab/>
        </w:r>
        <w:r w:rsidR="00CC3886">
          <w:rPr>
            <w:noProof/>
            <w:webHidden/>
          </w:rPr>
          <w:fldChar w:fldCharType="begin"/>
        </w:r>
        <w:r w:rsidR="00CC3886">
          <w:rPr>
            <w:noProof/>
            <w:webHidden/>
          </w:rPr>
          <w:instrText xml:space="preserve"> PAGEREF _Toc207109685 \h </w:instrText>
        </w:r>
        <w:r w:rsidR="00CC3886">
          <w:rPr>
            <w:noProof/>
            <w:webHidden/>
          </w:rPr>
        </w:r>
        <w:r w:rsidR="00CC3886">
          <w:rPr>
            <w:noProof/>
            <w:webHidden/>
          </w:rPr>
          <w:fldChar w:fldCharType="separate"/>
        </w:r>
        <w:r w:rsidR="00240C20">
          <w:rPr>
            <w:noProof/>
            <w:webHidden/>
          </w:rPr>
          <w:t>30</w:t>
        </w:r>
        <w:r w:rsidR="00CC3886">
          <w:rPr>
            <w:noProof/>
            <w:webHidden/>
          </w:rPr>
          <w:fldChar w:fldCharType="end"/>
        </w:r>
      </w:hyperlink>
    </w:p>
    <w:p w14:paraId="5613F5FF" w14:textId="1509E67C" w:rsidR="00CC3886" w:rsidRDefault="004F655B">
      <w:pPr>
        <w:pStyle w:val="TOC2"/>
        <w:rPr>
          <w:rFonts w:asciiTheme="minorHAnsi" w:eastAsiaTheme="minorEastAsia" w:hAnsiTheme="minorHAnsi" w:cstheme="minorBidi"/>
          <w:noProof/>
          <w:kern w:val="2"/>
          <w14:ligatures w14:val="standardContextual"/>
        </w:rPr>
      </w:pPr>
      <w:hyperlink w:anchor="_Toc207109686" w:history="1">
        <w:r w:rsidR="00CC3886" w:rsidRPr="00D36CBB">
          <w:rPr>
            <w:rStyle w:val="Hyperlink"/>
            <w:rFonts w:eastAsiaTheme="majorEastAsia"/>
            <w:noProof/>
          </w:rPr>
          <w:t>IX.</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2025 Order Must Be Vacated for Noncompliance with Part 96</w:t>
        </w:r>
        <w:r w:rsidR="00CC3886">
          <w:rPr>
            <w:noProof/>
            <w:webHidden/>
          </w:rPr>
          <w:tab/>
        </w:r>
        <w:r w:rsidR="00CC3886">
          <w:rPr>
            <w:noProof/>
            <w:webHidden/>
          </w:rPr>
          <w:fldChar w:fldCharType="begin"/>
        </w:r>
        <w:r w:rsidR="00CC3886">
          <w:rPr>
            <w:noProof/>
            <w:webHidden/>
          </w:rPr>
          <w:instrText xml:space="preserve"> PAGEREF _Toc207109686 \h </w:instrText>
        </w:r>
        <w:r w:rsidR="00CC3886">
          <w:rPr>
            <w:noProof/>
            <w:webHidden/>
          </w:rPr>
        </w:r>
        <w:r w:rsidR="00CC3886">
          <w:rPr>
            <w:noProof/>
            <w:webHidden/>
          </w:rPr>
          <w:fldChar w:fldCharType="separate"/>
        </w:r>
        <w:r w:rsidR="00240C20">
          <w:rPr>
            <w:noProof/>
            <w:webHidden/>
          </w:rPr>
          <w:t>30</w:t>
        </w:r>
        <w:r w:rsidR="00CC3886">
          <w:rPr>
            <w:noProof/>
            <w:webHidden/>
          </w:rPr>
          <w:fldChar w:fldCharType="end"/>
        </w:r>
      </w:hyperlink>
    </w:p>
    <w:p w14:paraId="56D10B55" w14:textId="06C79B1C"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7"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Failed to Apply § 96.5(k).</w:t>
        </w:r>
        <w:r w:rsidR="00CC3886">
          <w:rPr>
            <w:noProof/>
            <w:webHidden/>
          </w:rPr>
          <w:tab/>
        </w:r>
        <w:r w:rsidR="00CC3886">
          <w:rPr>
            <w:noProof/>
            <w:webHidden/>
          </w:rPr>
          <w:fldChar w:fldCharType="begin"/>
        </w:r>
        <w:r w:rsidR="00CC3886">
          <w:rPr>
            <w:noProof/>
            <w:webHidden/>
          </w:rPr>
          <w:instrText xml:space="preserve"> PAGEREF _Toc207109687 \h </w:instrText>
        </w:r>
        <w:r w:rsidR="00CC3886">
          <w:rPr>
            <w:noProof/>
            <w:webHidden/>
          </w:rPr>
        </w:r>
        <w:r w:rsidR="00CC3886">
          <w:rPr>
            <w:noProof/>
            <w:webHidden/>
          </w:rPr>
          <w:fldChar w:fldCharType="separate"/>
        </w:r>
        <w:r w:rsidR="00240C20">
          <w:rPr>
            <w:noProof/>
            <w:webHidden/>
          </w:rPr>
          <w:t>31</w:t>
        </w:r>
        <w:r w:rsidR="00CC3886">
          <w:rPr>
            <w:noProof/>
            <w:webHidden/>
          </w:rPr>
          <w:fldChar w:fldCharType="end"/>
        </w:r>
      </w:hyperlink>
    </w:p>
    <w:p w14:paraId="2CAC9199" w14:textId="45CDC8BB"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8"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PSC Failed to Mandate Compliance with Part 96.</w:t>
        </w:r>
        <w:r w:rsidR="00CC3886">
          <w:rPr>
            <w:noProof/>
            <w:webHidden/>
          </w:rPr>
          <w:tab/>
        </w:r>
        <w:r w:rsidR="00CC3886">
          <w:rPr>
            <w:noProof/>
            <w:webHidden/>
          </w:rPr>
          <w:fldChar w:fldCharType="begin"/>
        </w:r>
        <w:r w:rsidR="00CC3886">
          <w:rPr>
            <w:noProof/>
            <w:webHidden/>
          </w:rPr>
          <w:instrText xml:space="preserve"> PAGEREF _Toc207109688 \h </w:instrText>
        </w:r>
        <w:r w:rsidR="00CC3886">
          <w:rPr>
            <w:noProof/>
            <w:webHidden/>
          </w:rPr>
        </w:r>
        <w:r w:rsidR="00CC3886">
          <w:rPr>
            <w:noProof/>
            <w:webHidden/>
          </w:rPr>
          <w:fldChar w:fldCharType="separate"/>
        </w:r>
        <w:r w:rsidR="00240C20">
          <w:rPr>
            <w:noProof/>
            <w:webHidden/>
          </w:rPr>
          <w:t>31</w:t>
        </w:r>
        <w:r w:rsidR="00CC3886">
          <w:rPr>
            <w:noProof/>
            <w:webHidden/>
          </w:rPr>
          <w:fldChar w:fldCharType="end"/>
        </w:r>
      </w:hyperlink>
    </w:p>
    <w:p w14:paraId="735A6CA0" w14:textId="7AD68570"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89"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Conclusion.</w:t>
        </w:r>
        <w:r w:rsidR="00CC3886">
          <w:rPr>
            <w:noProof/>
            <w:webHidden/>
          </w:rPr>
          <w:tab/>
        </w:r>
        <w:r w:rsidR="00CC3886">
          <w:rPr>
            <w:noProof/>
            <w:webHidden/>
          </w:rPr>
          <w:fldChar w:fldCharType="begin"/>
        </w:r>
        <w:r w:rsidR="00CC3886">
          <w:rPr>
            <w:noProof/>
            <w:webHidden/>
          </w:rPr>
          <w:instrText xml:space="preserve"> PAGEREF _Toc207109689 \h </w:instrText>
        </w:r>
        <w:r w:rsidR="00CC3886">
          <w:rPr>
            <w:noProof/>
            <w:webHidden/>
          </w:rPr>
        </w:r>
        <w:r w:rsidR="00CC3886">
          <w:rPr>
            <w:noProof/>
            <w:webHidden/>
          </w:rPr>
          <w:fldChar w:fldCharType="separate"/>
        </w:r>
        <w:r w:rsidR="00240C20">
          <w:rPr>
            <w:noProof/>
            <w:webHidden/>
          </w:rPr>
          <w:t>32</w:t>
        </w:r>
        <w:r w:rsidR="00CC3886">
          <w:rPr>
            <w:noProof/>
            <w:webHidden/>
          </w:rPr>
          <w:fldChar w:fldCharType="end"/>
        </w:r>
      </w:hyperlink>
    </w:p>
    <w:p w14:paraId="6F06325B" w14:textId="6DFCCC53" w:rsidR="00CC3886" w:rsidRDefault="004F655B">
      <w:pPr>
        <w:pStyle w:val="TOC2"/>
        <w:rPr>
          <w:rFonts w:asciiTheme="minorHAnsi" w:eastAsiaTheme="minorEastAsia" w:hAnsiTheme="minorHAnsi" w:cstheme="minorBidi"/>
          <w:noProof/>
          <w:kern w:val="2"/>
          <w14:ligatures w14:val="standardContextual"/>
        </w:rPr>
      </w:pPr>
      <w:hyperlink w:anchor="_Toc207109690" w:history="1">
        <w:r w:rsidR="00CC3886" w:rsidRPr="00D36CBB">
          <w:rPr>
            <w:rStyle w:val="Hyperlink"/>
            <w:rFonts w:eastAsiaTheme="majorEastAsia"/>
            <w:noProof/>
          </w:rPr>
          <w:t>X.</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Landlord’s Submetering Plan is a Profit-Making Scheme.</w:t>
        </w:r>
        <w:r w:rsidR="00CC3886">
          <w:rPr>
            <w:noProof/>
            <w:webHidden/>
          </w:rPr>
          <w:tab/>
        </w:r>
        <w:r w:rsidR="00CC3886">
          <w:rPr>
            <w:noProof/>
            <w:webHidden/>
          </w:rPr>
          <w:fldChar w:fldCharType="begin"/>
        </w:r>
        <w:r w:rsidR="00CC3886">
          <w:rPr>
            <w:noProof/>
            <w:webHidden/>
          </w:rPr>
          <w:instrText xml:space="preserve"> PAGEREF _Toc207109690 \h </w:instrText>
        </w:r>
        <w:r w:rsidR="00CC3886">
          <w:rPr>
            <w:noProof/>
            <w:webHidden/>
          </w:rPr>
        </w:r>
        <w:r w:rsidR="00CC3886">
          <w:rPr>
            <w:noProof/>
            <w:webHidden/>
          </w:rPr>
          <w:fldChar w:fldCharType="separate"/>
        </w:r>
        <w:r w:rsidR="00240C20">
          <w:rPr>
            <w:noProof/>
            <w:webHidden/>
          </w:rPr>
          <w:t>32</w:t>
        </w:r>
        <w:r w:rsidR="00CC3886">
          <w:rPr>
            <w:noProof/>
            <w:webHidden/>
          </w:rPr>
          <w:fldChar w:fldCharType="end"/>
        </w:r>
      </w:hyperlink>
    </w:p>
    <w:p w14:paraId="5BC6AD31" w14:textId="6C582D7F" w:rsidR="00CC3886" w:rsidRDefault="004F655B">
      <w:pPr>
        <w:pStyle w:val="TOC2"/>
        <w:rPr>
          <w:rFonts w:asciiTheme="minorHAnsi" w:eastAsiaTheme="minorEastAsia" w:hAnsiTheme="minorHAnsi" w:cstheme="minorBidi"/>
          <w:noProof/>
          <w:kern w:val="2"/>
          <w14:ligatures w14:val="standardContextual"/>
        </w:rPr>
      </w:pPr>
      <w:hyperlink w:anchor="_Toc207109691" w:history="1">
        <w:r w:rsidR="00CC3886" w:rsidRPr="00D36CBB">
          <w:rPr>
            <w:rStyle w:val="Hyperlink"/>
            <w:rFonts w:eastAsiaTheme="majorEastAsia"/>
            <w:noProof/>
          </w:rPr>
          <w:t>XI.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 Concealed the Regulatory Agreements from the PSC</w:t>
        </w:r>
        <w:r w:rsidR="00CC3886">
          <w:rPr>
            <w:noProof/>
            <w:webHidden/>
          </w:rPr>
          <w:tab/>
        </w:r>
        <w:r w:rsidR="00CC3886">
          <w:rPr>
            <w:noProof/>
            <w:webHidden/>
          </w:rPr>
          <w:fldChar w:fldCharType="begin"/>
        </w:r>
        <w:r w:rsidR="00CC3886">
          <w:rPr>
            <w:noProof/>
            <w:webHidden/>
          </w:rPr>
          <w:instrText xml:space="preserve"> PAGEREF _Toc207109691 \h </w:instrText>
        </w:r>
        <w:r w:rsidR="00CC3886">
          <w:rPr>
            <w:noProof/>
            <w:webHidden/>
          </w:rPr>
        </w:r>
        <w:r w:rsidR="00CC3886">
          <w:rPr>
            <w:noProof/>
            <w:webHidden/>
          </w:rPr>
          <w:fldChar w:fldCharType="separate"/>
        </w:r>
        <w:r w:rsidR="00240C20">
          <w:rPr>
            <w:noProof/>
            <w:webHidden/>
          </w:rPr>
          <w:t>34</w:t>
        </w:r>
        <w:r w:rsidR="00CC3886">
          <w:rPr>
            <w:noProof/>
            <w:webHidden/>
          </w:rPr>
          <w:fldChar w:fldCharType="end"/>
        </w:r>
      </w:hyperlink>
    </w:p>
    <w:p w14:paraId="6FEF0C6F" w14:textId="705EE698" w:rsidR="00CC3886" w:rsidRDefault="004F655B">
      <w:pPr>
        <w:pStyle w:val="TOC2"/>
        <w:tabs>
          <w:tab w:val="left" w:pos="1080"/>
        </w:tabs>
        <w:rPr>
          <w:rFonts w:asciiTheme="minorHAnsi" w:eastAsiaTheme="minorEastAsia" w:hAnsiTheme="minorHAnsi" w:cstheme="minorBidi"/>
          <w:noProof/>
          <w:kern w:val="2"/>
          <w14:ligatures w14:val="standardContextual"/>
        </w:rPr>
      </w:pPr>
      <w:hyperlink w:anchor="_Toc207109692" w:history="1">
        <w:r w:rsidR="00CC3886" w:rsidRPr="00D36CBB">
          <w:rPr>
            <w:rStyle w:val="Hyperlink"/>
            <w:rFonts w:eastAsiaTheme="majorEastAsia"/>
            <w:noProof/>
          </w:rPr>
          <w:t>XII.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Landlord Is Unfit to Be a Submeterer</w:t>
        </w:r>
        <w:r w:rsidR="00CC3886">
          <w:rPr>
            <w:noProof/>
            <w:webHidden/>
          </w:rPr>
          <w:tab/>
        </w:r>
        <w:r w:rsidR="00CC3886">
          <w:rPr>
            <w:noProof/>
            <w:webHidden/>
          </w:rPr>
          <w:fldChar w:fldCharType="begin"/>
        </w:r>
        <w:r w:rsidR="00CC3886">
          <w:rPr>
            <w:noProof/>
            <w:webHidden/>
          </w:rPr>
          <w:instrText xml:space="preserve"> PAGEREF _Toc207109692 \h </w:instrText>
        </w:r>
        <w:r w:rsidR="00CC3886">
          <w:rPr>
            <w:noProof/>
            <w:webHidden/>
          </w:rPr>
        </w:r>
        <w:r w:rsidR="00CC3886">
          <w:rPr>
            <w:noProof/>
            <w:webHidden/>
          </w:rPr>
          <w:fldChar w:fldCharType="separate"/>
        </w:r>
        <w:r w:rsidR="00240C20">
          <w:rPr>
            <w:noProof/>
            <w:webHidden/>
          </w:rPr>
          <w:t>35</w:t>
        </w:r>
        <w:r w:rsidR="00CC3886">
          <w:rPr>
            <w:noProof/>
            <w:webHidden/>
          </w:rPr>
          <w:fldChar w:fldCharType="end"/>
        </w:r>
      </w:hyperlink>
    </w:p>
    <w:p w14:paraId="40BD0425" w14:textId="293F15D8"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93"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Sworn Tenant Affirmations Show Widespread Habitability Violations.</w:t>
        </w:r>
        <w:r w:rsidR="00CC3886">
          <w:rPr>
            <w:noProof/>
            <w:webHidden/>
          </w:rPr>
          <w:tab/>
        </w:r>
        <w:r w:rsidR="00CC3886">
          <w:rPr>
            <w:noProof/>
            <w:webHidden/>
          </w:rPr>
          <w:fldChar w:fldCharType="begin"/>
        </w:r>
        <w:r w:rsidR="00CC3886">
          <w:rPr>
            <w:noProof/>
            <w:webHidden/>
          </w:rPr>
          <w:instrText xml:space="preserve"> PAGEREF _Toc207109693 \h </w:instrText>
        </w:r>
        <w:r w:rsidR="00CC3886">
          <w:rPr>
            <w:noProof/>
            <w:webHidden/>
          </w:rPr>
        </w:r>
        <w:r w:rsidR="00CC3886">
          <w:rPr>
            <w:noProof/>
            <w:webHidden/>
          </w:rPr>
          <w:fldChar w:fldCharType="separate"/>
        </w:r>
        <w:r w:rsidR="00240C20">
          <w:rPr>
            <w:noProof/>
            <w:webHidden/>
          </w:rPr>
          <w:t>36</w:t>
        </w:r>
        <w:r w:rsidR="00CC3886">
          <w:rPr>
            <w:noProof/>
            <w:webHidden/>
          </w:rPr>
          <w:fldChar w:fldCharType="end"/>
        </w:r>
      </w:hyperlink>
    </w:p>
    <w:p w14:paraId="2E54E92B" w14:textId="4FA52B78"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94"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HPD Violations Confirm Unfitness.</w:t>
        </w:r>
        <w:r w:rsidR="00CC3886">
          <w:rPr>
            <w:noProof/>
            <w:webHidden/>
          </w:rPr>
          <w:tab/>
        </w:r>
        <w:r w:rsidR="00CC3886">
          <w:rPr>
            <w:noProof/>
            <w:webHidden/>
          </w:rPr>
          <w:fldChar w:fldCharType="begin"/>
        </w:r>
        <w:r w:rsidR="00CC3886">
          <w:rPr>
            <w:noProof/>
            <w:webHidden/>
          </w:rPr>
          <w:instrText xml:space="preserve"> PAGEREF _Toc207109694 \h </w:instrText>
        </w:r>
        <w:r w:rsidR="00CC3886">
          <w:rPr>
            <w:noProof/>
            <w:webHidden/>
          </w:rPr>
        </w:r>
        <w:r w:rsidR="00CC3886">
          <w:rPr>
            <w:noProof/>
            <w:webHidden/>
          </w:rPr>
          <w:fldChar w:fldCharType="separate"/>
        </w:r>
        <w:r w:rsidR="00240C20">
          <w:rPr>
            <w:noProof/>
            <w:webHidden/>
          </w:rPr>
          <w:t>37</w:t>
        </w:r>
        <w:r w:rsidR="00CC3886">
          <w:rPr>
            <w:noProof/>
            <w:webHidden/>
          </w:rPr>
          <w:fldChar w:fldCharType="end"/>
        </w:r>
      </w:hyperlink>
    </w:p>
    <w:p w14:paraId="0A81D56A" w14:textId="15A1EBEA"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95"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New Tenant Complaints Reinforce Unfitness.</w:t>
        </w:r>
        <w:r w:rsidR="00CC3886">
          <w:rPr>
            <w:noProof/>
            <w:webHidden/>
          </w:rPr>
          <w:tab/>
        </w:r>
        <w:r w:rsidR="00CC3886">
          <w:rPr>
            <w:noProof/>
            <w:webHidden/>
          </w:rPr>
          <w:fldChar w:fldCharType="begin"/>
        </w:r>
        <w:r w:rsidR="00CC3886">
          <w:rPr>
            <w:noProof/>
            <w:webHidden/>
          </w:rPr>
          <w:instrText xml:space="preserve"> PAGEREF _Toc207109695 \h </w:instrText>
        </w:r>
        <w:r w:rsidR="00CC3886">
          <w:rPr>
            <w:noProof/>
            <w:webHidden/>
          </w:rPr>
        </w:r>
        <w:r w:rsidR="00CC3886">
          <w:rPr>
            <w:noProof/>
            <w:webHidden/>
          </w:rPr>
          <w:fldChar w:fldCharType="separate"/>
        </w:r>
        <w:r w:rsidR="00240C20">
          <w:rPr>
            <w:noProof/>
            <w:webHidden/>
          </w:rPr>
          <w:t>37</w:t>
        </w:r>
        <w:r w:rsidR="00CC3886">
          <w:rPr>
            <w:noProof/>
            <w:webHidden/>
          </w:rPr>
          <w:fldChar w:fldCharType="end"/>
        </w:r>
      </w:hyperlink>
    </w:p>
    <w:p w14:paraId="31E4FF3A" w14:textId="713FFA8A"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96"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Chronic Habitability Violations Prove Unfitness.</w:t>
        </w:r>
        <w:r w:rsidR="00CC3886">
          <w:rPr>
            <w:noProof/>
            <w:webHidden/>
          </w:rPr>
          <w:tab/>
        </w:r>
        <w:r w:rsidR="00CC3886">
          <w:rPr>
            <w:noProof/>
            <w:webHidden/>
          </w:rPr>
          <w:fldChar w:fldCharType="begin"/>
        </w:r>
        <w:r w:rsidR="00CC3886">
          <w:rPr>
            <w:noProof/>
            <w:webHidden/>
          </w:rPr>
          <w:instrText xml:space="preserve"> PAGEREF _Toc207109696 \h </w:instrText>
        </w:r>
        <w:r w:rsidR="00CC3886">
          <w:rPr>
            <w:noProof/>
            <w:webHidden/>
          </w:rPr>
        </w:r>
        <w:r w:rsidR="00CC3886">
          <w:rPr>
            <w:noProof/>
            <w:webHidden/>
          </w:rPr>
          <w:fldChar w:fldCharType="separate"/>
        </w:r>
        <w:r w:rsidR="00240C20">
          <w:rPr>
            <w:noProof/>
            <w:webHidden/>
          </w:rPr>
          <w:t>37</w:t>
        </w:r>
        <w:r w:rsidR="00CC3886">
          <w:rPr>
            <w:noProof/>
            <w:webHidden/>
          </w:rPr>
          <w:fldChar w:fldCharType="end"/>
        </w:r>
      </w:hyperlink>
    </w:p>
    <w:p w14:paraId="392024FE" w14:textId="21A9C3FE" w:rsidR="00CC3886" w:rsidRDefault="004F655B">
      <w:pPr>
        <w:pStyle w:val="TOC2"/>
        <w:tabs>
          <w:tab w:val="left" w:pos="1080"/>
        </w:tabs>
        <w:rPr>
          <w:rFonts w:asciiTheme="minorHAnsi" w:eastAsiaTheme="minorEastAsia" w:hAnsiTheme="minorHAnsi" w:cstheme="minorBidi"/>
          <w:noProof/>
          <w:kern w:val="2"/>
          <w14:ligatures w14:val="standardContextual"/>
        </w:rPr>
      </w:pPr>
      <w:hyperlink w:anchor="_Toc207109697" w:history="1">
        <w:r w:rsidR="00CC3886" w:rsidRPr="00D36CBB">
          <w:rPr>
            <w:rStyle w:val="Hyperlink"/>
            <w:rFonts w:eastAsiaTheme="majorEastAsia"/>
            <w:noProof/>
          </w:rPr>
          <w:t>XIII.</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Relief Required Under CPLR Article 78</w:t>
        </w:r>
        <w:r w:rsidR="00CC3886">
          <w:rPr>
            <w:noProof/>
            <w:webHidden/>
          </w:rPr>
          <w:tab/>
        </w:r>
        <w:r w:rsidR="00CC3886">
          <w:rPr>
            <w:noProof/>
            <w:webHidden/>
          </w:rPr>
          <w:fldChar w:fldCharType="begin"/>
        </w:r>
        <w:r w:rsidR="00CC3886">
          <w:rPr>
            <w:noProof/>
            <w:webHidden/>
          </w:rPr>
          <w:instrText xml:space="preserve"> PAGEREF _Toc207109697 \h </w:instrText>
        </w:r>
        <w:r w:rsidR="00CC3886">
          <w:rPr>
            <w:noProof/>
            <w:webHidden/>
          </w:rPr>
        </w:r>
        <w:r w:rsidR="00CC3886">
          <w:rPr>
            <w:noProof/>
            <w:webHidden/>
          </w:rPr>
          <w:fldChar w:fldCharType="separate"/>
        </w:r>
        <w:r w:rsidR="00240C20">
          <w:rPr>
            <w:noProof/>
            <w:webHidden/>
          </w:rPr>
          <w:t>38</w:t>
        </w:r>
        <w:r w:rsidR="00CC3886">
          <w:rPr>
            <w:noProof/>
            <w:webHidden/>
          </w:rPr>
          <w:fldChar w:fldCharType="end"/>
        </w:r>
      </w:hyperlink>
    </w:p>
    <w:p w14:paraId="213804B5" w14:textId="496DFFA6" w:rsidR="00CC3886" w:rsidRDefault="004F655B">
      <w:pPr>
        <w:pStyle w:val="TOC2"/>
        <w:tabs>
          <w:tab w:val="left" w:pos="1080"/>
        </w:tabs>
        <w:rPr>
          <w:rFonts w:asciiTheme="minorHAnsi" w:eastAsiaTheme="minorEastAsia" w:hAnsiTheme="minorHAnsi" w:cstheme="minorBidi"/>
          <w:noProof/>
          <w:kern w:val="2"/>
          <w14:ligatures w14:val="standardContextual"/>
        </w:rPr>
      </w:pPr>
      <w:hyperlink w:anchor="_Toc207109698" w:history="1">
        <w:r w:rsidR="00CC3886" w:rsidRPr="00D36CBB">
          <w:rPr>
            <w:rStyle w:val="Hyperlink"/>
            <w:rFonts w:eastAsiaTheme="majorEastAsia"/>
            <w:noProof/>
          </w:rPr>
          <w:t>XIV.</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Petitioners Are Entitled to Injunctive and Declaratory Relief</w:t>
        </w:r>
        <w:r w:rsidR="00CC3886">
          <w:rPr>
            <w:noProof/>
            <w:webHidden/>
          </w:rPr>
          <w:tab/>
        </w:r>
        <w:r w:rsidR="00CC3886">
          <w:rPr>
            <w:noProof/>
            <w:webHidden/>
          </w:rPr>
          <w:fldChar w:fldCharType="begin"/>
        </w:r>
        <w:r w:rsidR="00CC3886">
          <w:rPr>
            <w:noProof/>
            <w:webHidden/>
          </w:rPr>
          <w:instrText xml:space="preserve"> PAGEREF _Toc207109698 \h </w:instrText>
        </w:r>
        <w:r w:rsidR="00CC3886">
          <w:rPr>
            <w:noProof/>
            <w:webHidden/>
          </w:rPr>
        </w:r>
        <w:r w:rsidR="00CC3886">
          <w:rPr>
            <w:noProof/>
            <w:webHidden/>
          </w:rPr>
          <w:fldChar w:fldCharType="separate"/>
        </w:r>
        <w:r w:rsidR="00240C20">
          <w:rPr>
            <w:noProof/>
            <w:webHidden/>
          </w:rPr>
          <w:t>39</w:t>
        </w:r>
        <w:r w:rsidR="00CC3886">
          <w:rPr>
            <w:noProof/>
            <w:webHidden/>
          </w:rPr>
          <w:fldChar w:fldCharType="end"/>
        </w:r>
      </w:hyperlink>
    </w:p>
    <w:p w14:paraId="7D1964D3" w14:textId="30AF72D8"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699" w:history="1">
        <w:r w:rsidR="00CC3886" w:rsidRPr="00D36CBB">
          <w:rPr>
            <w:rStyle w:val="Hyperlink"/>
            <w:rFonts w:eastAsiaTheme="majorEastAsia"/>
            <w:noProof/>
          </w:rPr>
          <w:t>A.</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Irreparable Harm to Tenants.</w:t>
        </w:r>
        <w:r w:rsidR="00CC3886">
          <w:rPr>
            <w:noProof/>
            <w:webHidden/>
          </w:rPr>
          <w:tab/>
        </w:r>
        <w:r w:rsidR="00CC3886">
          <w:rPr>
            <w:noProof/>
            <w:webHidden/>
          </w:rPr>
          <w:fldChar w:fldCharType="begin"/>
        </w:r>
        <w:r w:rsidR="00CC3886">
          <w:rPr>
            <w:noProof/>
            <w:webHidden/>
          </w:rPr>
          <w:instrText xml:space="preserve"> PAGEREF _Toc207109699 \h </w:instrText>
        </w:r>
        <w:r w:rsidR="00CC3886">
          <w:rPr>
            <w:noProof/>
            <w:webHidden/>
          </w:rPr>
        </w:r>
        <w:r w:rsidR="00CC3886">
          <w:rPr>
            <w:noProof/>
            <w:webHidden/>
          </w:rPr>
          <w:fldChar w:fldCharType="separate"/>
        </w:r>
        <w:r w:rsidR="00240C20">
          <w:rPr>
            <w:noProof/>
            <w:webHidden/>
          </w:rPr>
          <w:t>40</w:t>
        </w:r>
        <w:r w:rsidR="00CC3886">
          <w:rPr>
            <w:noProof/>
            <w:webHidden/>
          </w:rPr>
          <w:fldChar w:fldCharType="end"/>
        </w:r>
      </w:hyperlink>
    </w:p>
    <w:p w14:paraId="523DE105" w14:textId="7FA6A388"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700" w:history="1">
        <w:r w:rsidR="00CC3886" w:rsidRPr="00D36CBB">
          <w:rPr>
            <w:rStyle w:val="Hyperlink"/>
            <w:rFonts w:eastAsiaTheme="majorEastAsia"/>
            <w:noProof/>
          </w:rPr>
          <w:t>B.</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Likelihood of Success on the Merits.</w:t>
        </w:r>
        <w:r w:rsidR="00CC3886">
          <w:rPr>
            <w:noProof/>
            <w:webHidden/>
          </w:rPr>
          <w:tab/>
        </w:r>
        <w:r w:rsidR="00CC3886">
          <w:rPr>
            <w:noProof/>
            <w:webHidden/>
          </w:rPr>
          <w:fldChar w:fldCharType="begin"/>
        </w:r>
        <w:r w:rsidR="00CC3886">
          <w:rPr>
            <w:noProof/>
            <w:webHidden/>
          </w:rPr>
          <w:instrText xml:space="preserve"> PAGEREF _Toc207109700 \h </w:instrText>
        </w:r>
        <w:r w:rsidR="00CC3886">
          <w:rPr>
            <w:noProof/>
            <w:webHidden/>
          </w:rPr>
        </w:r>
        <w:r w:rsidR="00CC3886">
          <w:rPr>
            <w:noProof/>
            <w:webHidden/>
          </w:rPr>
          <w:fldChar w:fldCharType="separate"/>
        </w:r>
        <w:r w:rsidR="00240C20">
          <w:rPr>
            <w:noProof/>
            <w:webHidden/>
          </w:rPr>
          <w:t>41</w:t>
        </w:r>
        <w:r w:rsidR="00CC3886">
          <w:rPr>
            <w:noProof/>
            <w:webHidden/>
          </w:rPr>
          <w:fldChar w:fldCharType="end"/>
        </w:r>
      </w:hyperlink>
    </w:p>
    <w:p w14:paraId="2AEE6C16" w14:textId="47954D51"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701" w:history="1">
        <w:r w:rsidR="00CC3886" w:rsidRPr="00D36CBB">
          <w:rPr>
            <w:rStyle w:val="Hyperlink"/>
            <w:rFonts w:eastAsiaTheme="majorEastAsia"/>
            <w:noProof/>
          </w:rPr>
          <w:t>C.</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The Balance of the Equities Favors Petitioners.</w:t>
        </w:r>
        <w:r w:rsidR="00CC3886">
          <w:rPr>
            <w:noProof/>
            <w:webHidden/>
          </w:rPr>
          <w:tab/>
        </w:r>
        <w:r w:rsidR="00CC3886">
          <w:rPr>
            <w:noProof/>
            <w:webHidden/>
          </w:rPr>
          <w:fldChar w:fldCharType="begin"/>
        </w:r>
        <w:r w:rsidR="00CC3886">
          <w:rPr>
            <w:noProof/>
            <w:webHidden/>
          </w:rPr>
          <w:instrText xml:space="preserve"> PAGEREF _Toc207109701 \h </w:instrText>
        </w:r>
        <w:r w:rsidR="00CC3886">
          <w:rPr>
            <w:noProof/>
            <w:webHidden/>
          </w:rPr>
        </w:r>
        <w:r w:rsidR="00CC3886">
          <w:rPr>
            <w:noProof/>
            <w:webHidden/>
          </w:rPr>
          <w:fldChar w:fldCharType="separate"/>
        </w:r>
        <w:r w:rsidR="00240C20">
          <w:rPr>
            <w:noProof/>
            <w:webHidden/>
          </w:rPr>
          <w:t>41</w:t>
        </w:r>
        <w:r w:rsidR="00CC3886">
          <w:rPr>
            <w:noProof/>
            <w:webHidden/>
          </w:rPr>
          <w:fldChar w:fldCharType="end"/>
        </w:r>
      </w:hyperlink>
    </w:p>
    <w:p w14:paraId="17B557B8" w14:textId="0C6EE1FD"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702" w:history="1">
        <w:r w:rsidR="00CC3886" w:rsidRPr="00D36CBB">
          <w:rPr>
            <w:rStyle w:val="Hyperlink"/>
            <w:rFonts w:eastAsiaTheme="majorEastAsia"/>
            <w:noProof/>
          </w:rPr>
          <w:t>D.</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Emergency Circumstances.</w:t>
        </w:r>
        <w:r w:rsidR="00CC3886">
          <w:rPr>
            <w:noProof/>
            <w:webHidden/>
          </w:rPr>
          <w:tab/>
        </w:r>
        <w:r w:rsidR="00CC3886">
          <w:rPr>
            <w:noProof/>
            <w:webHidden/>
          </w:rPr>
          <w:fldChar w:fldCharType="begin"/>
        </w:r>
        <w:r w:rsidR="00CC3886">
          <w:rPr>
            <w:noProof/>
            <w:webHidden/>
          </w:rPr>
          <w:instrText xml:space="preserve"> PAGEREF _Toc207109702 \h </w:instrText>
        </w:r>
        <w:r w:rsidR="00CC3886">
          <w:rPr>
            <w:noProof/>
            <w:webHidden/>
          </w:rPr>
        </w:r>
        <w:r w:rsidR="00CC3886">
          <w:rPr>
            <w:noProof/>
            <w:webHidden/>
          </w:rPr>
          <w:fldChar w:fldCharType="separate"/>
        </w:r>
        <w:r w:rsidR="00240C20">
          <w:rPr>
            <w:noProof/>
            <w:webHidden/>
          </w:rPr>
          <w:t>41</w:t>
        </w:r>
        <w:r w:rsidR="00CC3886">
          <w:rPr>
            <w:noProof/>
            <w:webHidden/>
          </w:rPr>
          <w:fldChar w:fldCharType="end"/>
        </w:r>
      </w:hyperlink>
    </w:p>
    <w:p w14:paraId="22F2EB83" w14:textId="7C7FCA93" w:rsidR="00CC3886" w:rsidRDefault="004F655B">
      <w:pPr>
        <w:pStyle w:val="TOC3"/>
        <w:tabs>
          <w:tab w:val="left" w:pos="1680"/>
          <w:tab w:val="right" w:leader="dot" w:pos="9350"/>
        </w:tabs>
        <w:rPr>
          <w:rFonts w:asciiTheme="minorHAnsi" w:eastAsiaTheme="minorEastAsia" w:hAnsiTheme="minorHAnsi" w:cstheme="minorBidi"/>
          <w:noProof/>
          <w:kern w:val="2"/>
          <w14:ligatures w14:val="standardContextual"/>
        </w:rPr>
      </w:pPr>
      <w:hyperlink w:anchor="_Toc207109703" w:history="1">
        <w:r w:rsidR="00CC3886" w:rsidRPr="00D36CBB">
          <w:rPr>
            <w:rStyle w:val="Hyperlink"/>
            <w:rFonts w:eastAsiaTheme="majorEastAsia"/>
            <w:noProof/>
          </w:rPr>
          <w:t>E.</w:t>
        </w:r>
        <w:r w:rsidR="00CC3886">
          <w:rPr>
            <w:rFonts w:asciiTheme="minorHAnsi" w:eastAsiaTheme="minorEastAsia" w:hAnsiTheme="minorHAnsi" w:cstheme="minorBidi"/>
            <w:noProof/>
            <w:kern w:val="2"/>
            <w14:ligatures w14:val="standardContextual"/>
          </w:rPr>
          <w:tab/>
        </w:r>
        <w:r w:rsidR="00CC3886" w:rsidRPr="00D36CBB">
          <w:rPr>
            <w:rStyle w:val="Hyperlink"/>
            <w:rFonts w:eastAsiaTheme="majorEastAsia"/>
            <w:noProof/>
          </w:rPr>
          <w:t>Declaratory Relief as to Landlord’s Unfitness to Submeter.</w:t>
        </w:r>
        <w:r w:rsidR="00CC3886">
          <w:rPr>
            <w:noProof/>
            <w:webHidden/>
          </w:rPr>
          <w:tab/>
        </w:r>
        <w:r w:rsidR="00CC3886">
          <w:rPr>
            <w:noProof/>
            <w:webHidden/>
          </w:rPr>
          <w:fldChar w:fldCharType="begin"/>
        </w:r>
        <w:r w:rsidR="00CC3886">
          <w:rPr>
            <w:noProof/>
            <w:webHidden/>
          </w:rPr>
          <w:instrText xml:space="preserve"> PAGEREF _Toc207109703 \h </w:instrText>
        </w:r>
        <w:r w:rsidR="00CC3886">
          <w:rPr>
            <w:noProof/>
            <w:webHidden/>
          </w:rPr>
        </w:r>
        <w:r w:rsidR="00CC3886">
          <w:rPr>
            <w:noProof/>
            <w:webHidden/>
          </w:rPr>
          <w:fldChar w:fldCharType="separate"/>
        </w:r>
        <w:r w:rsidR="00240C20">
          <w:rPr>
            <w:noProof/>
            <w:webHidden/>
          </w:rPr>
          <w:t>42</w:t>
        </w:r>
        <w:r w:rsidR="00CC3886">
          <w:rPr>
            <w:noProof/>
            <w:webHidden/>
          </w:rPr>
          <w:fldChar w:fldCharType="end"/>
        </w:r>
      </w:hyperlink>
    </w:p>
    <w:p w14:paraId="5C41C6DF" w14:textId="78B84D1E" w:rsidR="00CC3886" w:rsidRDefault="004F655B">
      <w:pPr>
        <w:pStyle w:val="TOC1"/>
        <w:rPr>
          <w:rFonts w:asciiTheme="minorHAnsi" w:eastAsiaTheme="minorEastAsia" w:hAnsiTheme="minorHAnsi" w:cstheme="minorBidi"/>
          <w:noProof/>
          <w:kern w:val="2"/>
          <w14:ligatures w14:val="standardContextual"/>
        </w:rPr>
      </w:pPr>
      <w:hyperlink w:anchor="_Toc207109704" w:history="1">
        <w:r w:rsidR="00CC3886" w:rsidRPr="00D36CBB">
          <w:rPr>
            <w:rStyle w:val="Hyperlink"/>
            <w:rFonts w:eastAsiaTheme="majorEastAsia"/>
            <w:noProof/>
          </w:rPr>
          <w:t>CONCLUSION and PRAYER FOR RELIEF</w:t>
        </w:r>
        <w:r w:rsidR="00CC3886">
          <w:rPr>
            <w:noProof/>
            <w:webHidden/>
          </w:rPr>
          <w:tab/>
        </w:r>
        <w:r w:rsidR="00CC3886">
          <w:rPr>
            <w:noProof/>
            <w:webHidden/>
          </w:rPr>
          <w:fldChar w:fldCharType="begin"/>
        </w:r>
        <w:r w:rsidR="00CC3886">
          <w:rPr>
            <w:noProof/>
            <w:webHidden/>
          </w:rPr>
          <w:instrText xml:space="preserve"> PAGEREF _Toc207109704 \h </w:instrText>
        </w:r>
        <w:r w:rsidR="00CC3886">
          <w:rPr>
            <w:noProof/>
            <w:webHidden/>
          </w:rPr>
        </w:r>
        <w:r w:rsidR="00CC3886">
          <w:rPr>
            <w:noProof/>
            <w:webHidden/>
          </w:rPr>
          <w:fldChar w:fldCharType="separate"/>
        </w:r>
        <w:r w:rsidR="00240C20">
          <w:rPr>
            <w:noProof/>
            <w:webHidden/>
          </w:rPr>
          <w:t>42</w:t>
        </w:r>
        <w:r w:rsidR="00CC3886">
          <w:rPr>
            <w:noProof/>
            <w:webHidden/>
          </w:rPr>
          <w:fldChar w:fldCharType="end"/>
        </w:r>
      </w:hyperlink>
    </w:p>
    <w:p w14:paraId="62774163" w14:textId="55F2EDD8" w:rsidR="00CC3886" w:rsidRDefault="004F655B">
      <w:pPr>
        <w:pStyle w:val="TOC1"/>
        <w:rPr>
          <w:rFonts w:asciiTheme="minorHAnsi" w:eastAsiaTheme="minorEastAsia" w:hAnsiTheme="minorHAnsi" w:cstheme="minorBidi"/>
          <w:noProof/>
          <w:kern w:val="2"/>
          <w14:ligatures w14:val="standardContextual"/>
        </w:rPr>
      </w:pPr>
      <w:hyperlink w:anchor="_Toc207109705" w:history="1">
        <w:r w:rsidR="00CC3886" w:rsidRPr="00D36CBB">
          <w:rPr>
            <w:rStyle w:val="Hyperlink"/>
            <w:rFonts w:eastAsiaTheme="majorEastAsia"/>
            <w:noProof/>
          </w:rPr>
          <w:t>SIGNATURE BLOCK</w:t>
        </w:r>
        <w:r w:rsidR="00CC3886">
          <w:rPr>
            <w:noProof/>
            <w:webHidden/>
          </w:rPr>
          <w:tab/>
        </w:r>
        <w:r w:rsidR="00CC3886">
          <w:rPr>
            <w:noProof/>
            <w:webHidden/>
          </w:rPr>
          <w:fldChar w:fldCharType="begin"/>
        </w:r>
        <w:r w:rsidR="00CC3886">
          <w:rPr>
            <w:noProof/>
            <w:webHidden/>
          </w:rPr>
          <w:instrText xml:space="preserve"> PAGEREF _Toc207109705 \h </w:instrText>
        </w:r>
        <w:r w:rsidR="00CC3886">
          <w:rPr>
            <w:noProof/>
            <w:webHidden/>
          </w:rPr>
        </w:r>
        <w:r w:rsidR="00CC3886">
          <w:rPr>
            <w:noProof/>
            <w:webHidden/>
          </w:rPr>
          <w:fldChar w:fldCharType="separate"/>
        </w:r>
        <w:r w:rsidR="00240C20">
          <w:rPr>
            <w:noProof/>
            <w:webHidden/>
          </w:rPr>
          <w:t>44</w:t>
        </w:r>
        <w:r w:rsidR="00CC3886">
          <w:rPr>
            <w:noProof/>
            <w:webHidden/>
          </w:rPr>
          <w:fldChar w:fldCharType="end"/>
        </w:r>
      </w:hyperlink>
    </w:p>
    <w:p w14:paraId="7A9ABE01" w14:textId="14144DC8" w:rsidR="002B5435" w:rsidRDefault="00E70ADD">
      <w:pPr>
        <w:tabs>
          <w:tab w:val="clear" w:pos="720"/>
        </w:tabs>
        <w:spacing w:after="160" w:line="278" w:lineRule="auto"/>
        <w:jc w:val="left"/>
        <w:rPr>
          <w:rStyle w:val="Hyperlink"/>
          <w:rFonts w:eastAsiaTheme="majorEastAsia"/>
          <w:noProof/>
        </w:rPr>
      </w:pPr>
      <w:r>
        <w:rPr>
          <w:rFonts w:eastAsiaTheme="majorEastAsia"/>
        </w:rPr>
        <w:fldChar w:fldCharType="end"/>
      </w:r>
    </w:p>
    <w:p w14:paraId="0A2D5614" w14:textId="77777777" w:rsidR="00255CBC" w:rsidRDefault="00255CBC">
      <w:pPr>
        <w:tabs>
          <w:tab w:val="clear" w:pos="720"/>
        </w:tabs>
        <w:spacing w:after="160" w:line="278" w:lineRule="auto"/>
        <w:jc w:val="left"/>
        <w:sectPr w:rsidR="00255CBC" w:rsidSect="00815EA4">
          <w:footerReference w:type="default" r:id="rId8"/>
          <w:footerReference w:type="first" r:id="rId9"/>
          <w:pgSz w:w="12240" w:h="15840"/>
          <w:pgMar w:top="1440" w:right="1440" w:bottom="1440" w:left="1440" w:header="720" w:footer="720" w:gutter="0"/>
          <w:pgNumType w:fmt="lowerRoman"/>
          <w:cols w:space="720"/>
          <w:titlePg/>
          <w:docGrid w:linePitch="360"/>
        </w:sectPr>
      </w:pPr>
    </w:p>
    <w:p w14:paraId="09E76FB7" w14:textId="5BE29521" w:rsidR="00025974" w:rsidRPr="00025974" w:rsidRDefault="00025974" w:rsidP="00650FC6">
      <w:pPr>
        <w:pStyle w:val="Heading1"/>
      </w:pPr>
      <w:bookmarkStart w:id="4" w:name="_Toc207020475"/>
      <w:bookmarkStart w:id="5" w:name="_Toc207020537"/>
      <w:bookmarkStart w:id="6" w:name="_Toc207109645"/>
      <w:r w:rsidRPr="00025974">
        <w:lastRenderedPageBreak/>
        <w:t>PRELIMINARY STATEMENT</w:t>
      </w:r>
      <w:bookmarkEnd w:id="4"/>
      <w:bookmarkEnd w:id="5"/>
      <w:bookmarkEnd w:id="6"/>
    </w:p>
    <w:p w14:paraId="1CE906AF" w14:textId="77777777" w:rsidR="00747644" w:rsidRDefault="00747644" w:rsidP="00747644">
      <w:pPr>
        <w:numPr>
          <w:ilvl w:val="0"/>
          <w:numId w:val="15"/>
        </w:numPr>
        <w:tabs>
          <w:tab w:val="clear" w:pos="720"/>
          <w:tab w:val="left" w:pos="1080"/>
        </w:tabs>
        <w:ind w:left="0" w:firstLine="540"/>
      </w:pPr>
      <w:r>
        <w:t xml:space="preserve">This is a proceeding pursuant to Article 78 of the CPLR seeking to annul and vacate the April 28, 2025 Order of the New York State Public Service Commission (“PSC”) in Case Nos. 08-E-0836, 08-E-0837, 08-E-0838, and 08-E-0839, which unlawfully authorized residential electric submetering at the Affected Buildings. </w:t>
      </w:r>
      <w:r w:rsidRPr="00747644">
        <w:rPr>
          <w:i/>
          <w:iCs/>
        </w:rPr>
        <w:t>See</w:t>
      </w:r>
      <w:r>
        <w:t xml:space="preserve"> Exhibit D.</w:t>
      </w:r>
    </w:p>
    <w:p w14:paraId="6088AAF4" w14:textId="77777777" w:rsidR="00747644" w:rsidRDefault="00747644" w:rsidP="00747644">
      <w:pPr>
        <w:numPr>
          <w:ilvl w:val="0"/>
          <w:numId w:val="15"/>
        </w:numPr>
        <w:tabs>
          <w:tab w:val="clear" w:pos="720"/>
          <w:tab w:val="left" w:pos="1080"/>
        </w:tabs>
        <w:ind w:left="0" w:firstLine="540"/>
      </w:pPr>
      <w:r>
        <w:t xml:space="preserve">The Order is arbitrary and capricious, lacks a rational basis, is affected by errors of law, and was made in violation of the PSC’s own regulations. It is </w:t>
      </w:r>
      <w:r w:rsidRPr="0055510F">
        <w:rPr>
          <w:i/>
          <w:iCs/>
        </w:rPr>
        <w:t>ultra vires</w:t>
      </w:r>
      <w:r>
        <w:t xml:space="preserve">, in excess of jurisdiction, and </w:t>
      </w:r>
      <w:r w:rsidRPr="0055510F">
        <w:rPr>
          <w:i/>
          <w:iCs/>
        </w:rPr>
        <w:t>void ab initio</w:t>
      </w:r>
      <w:r>
        <w:t xml:space="preserve"> under CPLR 7803.</w:t>
      </w:r>
    </w:p>
    <w:p w14:paraId="3234BBEF" w14:textId="77777777" w:rsidR="00F767D4" w:rsidRDefault="00747644" w:rsidP="00F767D4">
      <w:pPr>
        <w:numPr>
          <w:ilvl w:val="0"/>
          <w:numId w:val="15"/>
        </w:numPr>
        <w:tabs>
          <w:tab w:val="clear" w:pos="720"/>
          <w:tab w:val="left" w:pos="1080"/>
        </w:tabs>
        <w:ind w:left="0" w:firstLine="540"/>
      </w:pPr>
      <w:r>
        <w:t>Petitioners also seek declaratory and injunctive relief, including a temporary restraining order, a preliminary injunction, and a permanent injunction under CPLR Articles 30 and 63, enjoining the Landlord from commencing submetering.</w:t>
      </w:r>
    </w:p>
    <w:p w14:paraId="61236A08" w14:textId="77777777" w:rsidR="00F767D4" w:rsidRDefault="00747644" w:rsidP="00F767D4">
      <w:pPr>
        <w:numPr>
          <w:ilvl w:val="0"/>
          <w:numId w:val="15"/>
        </w:numPr>
        <w:tabs>
          <w:tab w:val="clear" w:pos="720"/>
          <w:tab w:val="left" w:pos="1080"/>
        </w:tabs>
        <w:ind w:left="0" w:firstLine="540"/>
      </w:pPr>
      <w:r>
        <w:t>The PSC’s 2025 Order unlawfully resurrected a long-expired 2011 submetering approval, mischaracterizing an unlawful modification as a mere “clarification.” In reality, the PSC had no authority to revive the 2011 approval, which lapsed in 2016. By encouraging the Landlord’s procedurally defective “petition for clarification,” the PSC permitted the Landlord to bypass mandatory notice, financial hardship analysis, and evidentiary procedures under Part 96.</w:t>
      </w:r>
    </w:p>
    <w:p w14:paraId="31DCF926" w14:textId="77777777" w:rsidR="00F767D4" w:rsidRDefault="00747644" w:rsidP="00F767D4">
      <w:pPr>
        <w:numPr>
          <w:ilvl w:val="0"/>
          <w:numId w:val="15"/>
        </w:numPr>
        <w:tabs>
          <w:tab w:val="clear" w:pos="720"/>
          <w:tab w:val="left" w:pos="1080"/>
        </w:tabs>
        <w:ind w:left="0" w:firstLine="540"/>
      </w:pPr>
      <w:r>
        <w:lastRenderedPageBreak/>
        <w:t>The Order was further tainted by 13 months of secret, ex parte communications between the PSC and the Landlord, including solicited affidavits never disclosed on the public docket. Tenants were thus denied notice and an opportunity to respond — a plain violation of due process and a breach of the PSC’s duty of neutrality.</w:t>
      </w:r>
    </w:p>
    <w:p w14:paraId="5B537962" w14:textId="77777777" w:rsidR="00C570CA" w:rsidRDefault="00747644" w:rsidP="00C570CA">
      <w:pPr>
        <w:numPr>
          <w:ilvl w:val="0"/>
          <w:numId w:val="15"/>
        </w:numPr>
        <w:tabs>
          <w:tab w:val="clear" w:pos="720"/>
          <w:tab w:val="left" w:pos="1080"/>
        </w:tabs>
        <w:ind w:left="0" w:firstLine="540"/>
      </w:pPr>
      <w:r>
        <w:t xml:space="preserve">Even if </w:t>
      </w:r>
      <w:r w:rsidRPr="00F767D4">
        <w:rPr>
          <w:i/>
          <w:iCs/>
        </w:rPr>
        <w:t>arguendo</w:t>
      </w:r>
      <w:r>
        <w:t xml:space="preserve"> the PSC had jurisdiction (which it did not), the agency still failed to discharge its basic regulatory function. It conducted no rate-cap analysis, no updated financial hardship evaluation, and no review of the Landlord’s history of chronic habitability violations, including lack of heat, lack of water, infestations, elevator outages, leaks, and black mold.</w:t>
      </w:r>
    </w:p>
    <w:p w14:paraId="5E4D6BEC" w14:textId="38BD903E" w:rsidR="00747644" w:rsidRDefault="00747644" w:rsidP="00C570CA">
      <w:pPr>
        <w:numPr>
          <w:ilvl w:val="0"/>
          <w:numId w:val="15"/>
        </w:numPr>
        <w:tabs>
          <w:tab w:val="clear" w:pos="720"/>
          <w:tab w:val="left" w:pos="1080"/>
        </w:tabs>
        <w:ind w:left="0" w:firstLine="540"/>
      </w:pPr>
      <w:r>
        <w:t>In granting the Order, the PSC committed multiple reversible errors, including but not limited to:</w:t>
      </w:r>
    </w:p>
    <w:p w14:paraId="5B322F00" w14:textId="77777777" w:rsidR="00747644" w:rsidRDefault="00747644" w:rsidP="00C570CA">
      <w:pPr>
        <w:tabs>
          <w:tab w:val="clear" w:pos="720"/>
          <w:tab w:val="left" w:pos="1080"/>
        </w:tabs>
        <w:ind w:left="1080"/>
      </w:pPr>
      <w:r>
        <w:t>(a) Violating its own rules under 16 NYCRR §§ 3.7, 96.3, and 96.5;</w:t>
      </w:r>
    </w:p>
    <w:p w14:paraId="2F41ECEA" w14:textId="77777777" w:rsidR="00747644" w:rsidRDefault="00747644" w:rsidP="00C570CA">
      <w:pPr>
        <w:tabs>
          <w:tab w:val="clear" w:pos="720"/>
          <w:tab w:val="left" w:pos="1080"/>
        </w:tabs>
        <w:ind w:left="1080"/>
      </w:pPr>
      <w:r>
        <w:t>(b) Ignoring overwhelming tenant opposition;</w:t>
      </w:r>
    </w:p>
    <w:p w14:paraId="0F2AA5A7" w14:textId="77777777" w:rsidR="00747644" w:rsidRDefault="00747644" w:rsidP="00C570CA">
      <w:pPr>
        <w:tabs>
          <w:tab w:val="clear" w:pos="720"/>
          <w:tab w:val="left" w:pos="1080"/>
        </w:tabs>
        <w:ind w:left="1080"/>
      </w:pPr>
      <w:r>
        <w:t>(c) Relying on secret and false submissions from the Landlord;</w:t>
      </w:r>
    </w:p>
    <w:p w14:paraId="7221A692" w14:textId="77777777" w:rsidR="00747644" w:rsidRDefault="00747644" w:rsidP="00C570CA">
      <w:pPr>
        <w:tabs>
          <w:tab w:val="clear" w:pos="720"/>
          <w:tab w:val="left" w:pos="1080"/>
        </w:tabs>
        <w:ind w:left="1080"/>
      </w:pPr>
      <w:r>
        <w:t>(d) Denying tenants a hearing;</w:t>
      </w:r>
    </w:p>
    <w:p w14:paraId="10002401" w14:textId="77777777" w:rsidR="00747644" w:rsidRDefault="00747644" w:rsidP="00C570CA">
      <w:pPr>
        <w:tabs>
          <w:tab w:val="clear" w:pos="720"/>
          <w:tab w:val="left" w:pos="1080"/>
        </w:tabs>
        <w:ind w:left="1080"/>
      </w:pPr>
      <w:r>
        <w:t>(e) Failing to apply updated tenant protection laws; and</w:t>
      </w:r>
    </w:p>
    <w:p w14:paraId="60DD3ED3" w14:textId="5BE29475" w:rsidR="00747644" w:rsidRDefault="00747644" w:rsidP="004649FD">
      <w:pPr>
        <w:tabs>
          <w:tab w:val="clear" w:pos="720"/>
          <w:tab w:val="left" w:pos="1080"/>
        </w:tabs>
        <w:ind w:left="1080"/>
      </w:pPr>
      <w:r>
        <w:t>(f) Effectively denying tenants’ timely rehearing petition.</w:t>
      </w:r>
    </w:p>
    <w:p w14:paraId="3F636053" w14:textId="25E9D8DB" w:rsidR="004649FD" w:rsidRDefault="00747644" w:rsidP="004649FD">
      <w:pPr>
        <w:numPr>
          <w:ilvl w:val="0"/>
          <w:numId w:val="15"/>
        </w:numPr>
        <w:tabs>
          <w:tab w:val="clear" w:pos="720"/>
          <w:tab w:val="left" w:pos="1080"/>
        </w:tabs>
        <w:ind w:left="0" w:firstLine="540"/>
      </w:pPr>
      <w:r>
        <w:lastRenderedPageBreak/>
        <w:t xml:space="preserve">The Order represents a fundamental breakdown of regulatory oversight: </w:t>
      </w:r>
      <w:r w:rsidR="00285633">
        <w:t xml:space="preserve"> </w:t>
      </w:r>
      <w:r>
        <w:t>it favors the Landlord’s profit-driven scheme at the direct expense of tenants and in contravention of the very protections Part 96 was designed to guarantee.</w:t>
      </w:r>
    </w:p>
    <w:p w14:paraId="32009ADA" w14:textId="36D90A0D" w:rsidR="00747644" w:rsidRDefault="00747644" w:rsidP="004649FD">
      <w:pPr>
        <w:numPr>
          <w:ilvl w:val="0"/>
          <w:numId w:val="15"/>
        </w:numPr>
        <w:tabs>
          <w:tab w:val="clear" w:pos="720"/>
          <w:tab w:val="left" w:pos="1080"/>
        </w:tabs>
        <w:ind w:left="0" w:firstLine="540"/>
      </w:pPr>
      <w:r>
        <w:t>For all these reasons, the 2025 Order must be vacated and annulled in its entirety. In the interim, this Court should issue a temporary restraining order and preliminary injunction to prevent unlawful submetering from commencing.</w:t>
      </w:r>
    </w:p>
    <w:p w14:paraId="06A20364" w14:textId="634C0B96" w:rsidR="00D009D2" w:rsidRDefault="00D009D2" w:rsidP="00D009D2">
      <w:pPr>
        <w:pStyle w:val="Heading1"/>
      </w:pPr>
      <w:bookmarkStart w:id="7" w:name="_Toc207020476"/>
      <w:bookmarkStart w:id="8" w:name="_Toc207020538"/>
      <w:bookmarkStart w:id="9" w:name="_Toc207109646"/>
      <w:r>
        <w:t>THE AFFECTED BUILDINGS</w:t>
      </w:r>
      <w:bookmarkEnd w:id="7"/>
      <w:bookmarkEnd w:id="8"/>
      <w:bookmarkEnd w:id="9"/>
    </w:p>
    <w:p w14:paraId="2055F897" w14:textId="77777777" w:rsidR="00947C00" w:rsidRDefault="00947C00" w:rsidP="00947C00">
      <w:pPr>
        <w:numPr>
          <w:ilvl w:val="0"/>
          <w:numId w:val="15"/>
        </w:numPr>
        <w:tabs>
          <w:tab w:val="clear" w:pos="720"/>
          <w:tab w:val="left" w:pos="1080"/>
        </w:tabs>
        <w:ind w:left="0" w:firstLine="540"/>
      </w:pPr>
      <w:r>
        <w:t>The “Affected Buildings,” as referred to herein, are four apartment complexes located in New York County that were acquired by the Landlord in October 2019, commonly known as Schomburg Plaza (also called the Heritage), River Crossing, Roosevelt Landings, and the Miles and Parker.</w:t>
      </w:r>
    </w:p>
    <w:p w14:paraId="6204D3A2" w14:textId="77777777" w:rsidR="00947C00" w:rsidRDefault="00947C00" w:rsidP="00947C00">
      <w:pPr>
        <w:numPr>
          <w:ilvl w:val="0"/>
          <w:numId w:val="15"/>
        </w:numPr>
        <w:tabs>
          <w:tab w:val="clear" w:pos="720"/>
          <w:tab w:val="left" w:pos="1080"/>
        </w:tabs>
        <w:ind w:left="0" w:firstLine="540"/>
      </w:pPr>
      <w:r>
        <w:t>Together, the Affected Buildings comprise 2,769 units of multifamily rental housing located throughout Manhattan and Roosevelt Island.</w:t>
      </w:r>
    </w:p>
    <w:p w14:paraId="6826CFA5" w14:textId="215AEBFE" w:rsidR="00947C00" w:rsidRDefault="00947C00" w:rsidP="00947C00">
      <w:pPr>
        <w:numPr>
          <w:ilvl w:val="0"/>
          <w:numId w:val="15"/>
        </w:numPr>
        <w:tabs>
          <w:tab w:val="clear" w:pos="720"/>
          <w:tab w:val="left" w:pos="1080"/>
        </w:tabs>
        <w:ind w:left="0" w:firstLine="540"/>
      </w:pPr>
      <w:r>
        <w:t xml:space="preserve">The Affected Buildings are home to approximately 2,769 leaseholders — many with families — of whom roughly </w:t>
      </w:r>
      <w:r w:rsidR="006A19E1">
        <w:t>5o</w:t>
      </w:r>
      <w:r>
        <w:t xml:space="preserve">% receive Section 8 vouchers and/or other forms of rental assistance. </w:t>
      </w:r>
      <w:r w:rsidR="00CF4EE4">
        <w:t xml:space="preserve"> </w:t>
      </w:r>
      <w:r>
        <w:t>Approximately 50</w:t>
      </w:r>
      <w:r w:rsidR="00CF4EE4">
        <w:t>-60</w:t>
      </w:r>
      <w:r>
        <w:t>% of tenants are low-income, and many are senior citizens living on fixed incomes.</w:t>
      </w:r>
    </w:p>
    <w:p w14:paraId="593713B3" w14:textId="77777777" w:rsidR="00947C00" w:rsidRDefault="00947C00" w:rsidP="00947C00">
      <w:pPr>
        <w:numPr>
          <w:ilvl w:val="0"/>
          <w:numId w:val="15"/>
        </w:numPr>
        <w:tabs>
          <w:tab w:val="clear" w:pos="720"/>
          <w:tab w:val="left" w:pos="1080"/>
        </w:tabs>
        <w:ind w:left="0" w:firstLine="540"/>
      </w:pPr>
      <w:r>
        <w:t xml:space="preserve">Schomburg Plaza (a/k/a The Heritage, and a/k/a Frawley Plaza) is a 600-unit mixed-income property located in East Harlem </w:t>
      </w:r>
      <w:r>
        <w:lastRenderedPageBreak/>
        <w:t>at 1295 and 1309 Fifth Avenue, and 1660 Madison Avenue. The property was originally constructed in 1975 and removed from the Mitchell-Lama program in 2005.</w:t>
      </w:r>
    </w:p>
    <w:p w14:paraId="06FB4DD7" w14:textId="77777777" w:rsidR="00947C00" w:rsidRDefault="00947C00" w:rsidP="00947C00">
      <w:pPr>
        <w:numPr>
          <w:ilvl w:val="0"/>
          <w:numId w:val="15"/>
        </w:numPr>
        <w:tabs>
          <w:tab w:val="clear" w:pos="720"/>
          <w:tab w:val="left" w:pos="1080"/>
        </w:tabs>
        <w:ind w:left="0" w:firstLine="540"/>
      </w:pPr>
      <w:r>
        <w:t>Roosevelt Landings is a 1,003-unit mixed-income property located on Main Street, Roosevelt Island (510–580 Main Street). The property was originally constructed in 1978 and removed from the Mitchell-Lama program in 2005.</w:t>
      </w:r>
    </w:p>
    <w:p w14:paraId="14FAEC23" w14:textId="77777777" w:rsidR="00947C00" w:rsidRDefault="00947C00" w:rsidP="00947C00">
      <w:pPr>
        <w:numPr>
          <w:ilvl w:val="0"/>
          <w:numId w:val="15"/>
        </w:numPr>
        <w:tabs>
          <w:tab w:val="clear" w:pos="720"/>
          <w:tab w:val="left" w:pos="1080"/>
        </w:tabs>
        <w:ind w:left="0" w:firstLine="540"/>
      </w:pPr>
      <w:r>
        <w:t>River Crossing is a 761-unit mixed-income property located in East Harlem at 1940–1966 First Avenue and 420 East 102nd Street. The property was originally constructed in 1980 and removed from the Mitchell-Lama program in 2005.</w:t>
      </w:r>
    </w:p>
    <w:p w14:paraId="1736FB53" w14:textId="18EFBDE8" w:rsidR="00947C00" w:rsidRDefault="00947C00" w:rsidP="00947C00">
      <w:pPr>
        <w:numPr>
          <w:ilvl w:val="0"/>
          <w:numId w:val="15"/>
        </w:numPr>
        <w:tabs>
          <w:tab w:val="clear" w:pos="720"/>
          <w:tab w:val="left" w:pos="1080"/>
        </w:tabs>
        <w:ind w:left="0" w:firstLine="540"/>
      </w:pPr>
      <w:r>
        <w:t>The Miles and the Parker are two mixed-income properties comprising 341 units and 64 units, respectively, located in East Harlem at 1890 Lexington Avenue and 1990 Lexington Avenue. Both properties were originally constructed in 1975 and removed from the Mitchell-Lama program in 2005.</w:t>
      </w:r>
    </w:p>
    <w:p w14:paraId="669CD8C3" w14:textId="0BC6F559" w:rsidR="00D009D2" w:rsidRDefault="00B55F39" w:rsidP="00D009D2">
      <w:pPr>
        <w:pStyle w:val="Heading1"/>
      </w:pPr>
      <w:bookmarkStart w:id="10" w:name="_Toc207020477"/>
      <w:bookmarkStart w:id="11" w:name="_Toc207020539"/>
      <w:bookmarkStart w:id="12" w:name="_Toc207109647"/>
      <w:r>
        <w:t xml:space="preserve">THE </w:t>
      </w:r>
      <w:r w:rsidR="00D009D2" w:rsidRPr="00B53EEA">
        <w:t>P</w:t>
      </w:r>
      <w:r w:rsidR="00D009D2">
        <w:t>ETITIONERS</w:t>
      </w:r>
      <w:bookmarkEnd w:id="10"/>
      <w:bookmarkEnd w:id="11"/>
      <w:bookmarkEnd w:id="12"/>
    </w:p>
    <w:p w14:paraId="76BE7D7B" w14:textId="77777777" w:rsidR="00995329" w:rsidRDefault="00995329" w:rsidP="00995329">
      <w:pPr>
        <w:numPr>
          <w:ilvl w:val="0"/>
          <w:numId w:val="15"/>
        </w:numPr>
        <w:tabs>
          <w:tab w:val="clear" w:pos="720"/>
          <w:tab w:val="left" w:pos="1080"/>
        </w:tabs>
        <w:ind w:left="0" w:firstLine="540"/>
      </w:pPr>
      <w:r>
        <w:t>This Petition is brought by the leaders of the tenants’ associations in three of the four Affected Buildings.</w:t>
      </w:r>
    </w:p>
    <w:p w14:paraId="62EF71A6" w14:textId="77777777" w:rsidR="00995329" w:rsidRDefault="00995329" w:rsidP="00995329">
      <w:pPr>
        <w:numPr>
          <w:ilvl w:val="0"/>
          <w:numId w:val="15"/>
        </w:numPr>
        <w:tabs>
          <w:tab w:val="clear" w:pos="720"/>
          <w:tab w:val="left" w:pos="1080"/>
        </w:tabs>
        <w:ind w:left="0" w:firstLine="540"/>
      </w:pPr>
      <w:r>
        <w:t>Petitioners act on behalf of all residents of the Affected Buildings, who face imminent and irreparable harm from the 2025 Order and who oppose submetering on that basis.</w:t>
      </w:r>
    </w:p>
    <w:p w14:paraId="4AC7F4E9" w14:textId="77777777" w:rsidR="00995329" w:rsidRDefault="00995329" w:rsidP="00995329">
      <w:pPr>
        <w:numPr>
          <w:ilvl w:val="0"/>
          <w:numId w:val="15"/>
        </w:numPr>
        <w:tabs>
          <w:tab w:val="clear" w:pos="720"/>
          <w:tab w:val="left" w:pos="1080"/>
        </w:tabs>
        <w:ind w:left="0" w:firstLine="540"/>
      </w:pPr>
      <w:r>
        <w:t xml:space="preserve">Petitioner Diane Mack is the Vice President of the Schomburg Residents’ Council, Inc., the duly constituted tenants’ </w:t>
      </w:r>
      <w:r>
        <w:lastRenderedPageBreak/>
        <w:t>association representing residents of Schomburg Plaza (a/k/a Heritage Towers, a/k/a Frawley Towers).</w:t>
      </w:r>
    </w:p>
    <w:p w14:paraId="208F12AF" w14:textId="77777777" w:rsidR="00995329" w:rsidRDefault="00995329" w:rsidP="00995329">
      <w:pPr>
        <w:numPr>
          <w:ilvl w:val="0"/>
          <w:numId w:val="15"/>
        </w:numPr>
        <w:tabs>
          <w:tab w:val="clear" w:pos="720"/>
          <w:tab w:val="left" w:pos="1080"/>
        </w:tabs>
        <w:ind w:left="0" w:firstLine="540"/>
      </w:pPr>
      <w:r>
        <w:t>The Schomburg Residents’ Council, Inc. (“SRC”) is a not-for-profit corporation organized under the laws of the State of New York.</w:t>
      </w:r>
    </w:p>
    <w:p w14:paraId="27632C61" w14:textId="77777777" w:rsidR="00995329" w:rsidRDefault="00995329" w:rsidP="00995329">
      <w:pPr>
        <w:numPr>
          <w:ilvl w:val="0"/>
          <w:numId w:val="15"/>
        </w:numPr>
        <w:tabs>
          <w:tab w:val="clear" w:pos="720"/>
          <w:tab w:val="left" w:pos="1080"/>
        </w:tabs>
        <w:ind w:left="0" w:firstLine="540"/>
      </w:pPr>
      <w:r>
        <w:t>Petitioner Joyce Short is the President of the Roosevelt Landings Tenants’ Association, representing tenants of Roosevelt Landings.</w:t>
      </w:r>
    </w:p>
    <w:p w14:paraId="46E18EF1" w14:textId="635CA399" w:rsidR="000B2605" w:rsidRDefault="00995329" w:rsidP="00995329">
      <w:pPr>
        <w:numPr>
          <w:ilvl w:val="0"/>
          <w:numId w:val="15"/>
        </w:numPr>
        <w:tabs>
          <w:tab w:val="clear" w:pos="720"/>
          <w:tab w:val="left" w:pos="1080"/>
        </w:tabs>
        <w:ind w:left="0" w:firstLine="540"/>
      </w:pPr>
      <w:r>
        <w:t>Petitioner Bridgette Scott is the President of the Miles and Parker Tenants’ Association, representing tenants of the Miles and Parker apartment buildings.</w:t>
      </w:r>
    </w:p>
    <w:p w14:paraId="346B87D6" w14:textId="0B8DA59C" w:rsidR="00FE23FF" w:rsidRDefault="00B55F39" w:rsidP="00FE23FF">
      <w:pPr>
        <w:pStyle w:val="Heading1"/>
      </w:pPr>
      <w:bookmarkStart w:id="13" w:name="_Toc207020478"/>
      <w:bookmarkStart w:id="14" w:name="_Toc207020540"/>
      <w:bookmarkStart w:id="15" w:name="_Toc207109648"/>
      <w:r>
        <w:t xml:space="preserve">THE </w:t>
      </w:r>
      <w:r w:rsidR="00FE23FF">
        <w:t>RESPONDENTS</w:t>
      </w:r>
      <w:bookmarkEnd w:id="13"/>
      <w:bookmarkEnd w:id="14"/>
      <w:bookmarkEnd w:id="15"/>
    </w:p>
    <w:p w14:paraId="52490173" w14:textId="77777777" w:rsidR="00C211FD" w:rsidRDefault="00647EA2" w:rsidP="00647EA2">
      <w:pPr>
        <w:numPr>
          <w:ilvl w:val="0"/>
          <w:numId w:val="15"/>
        </w:numPr>
        <w:tabs>
          <w:tab w:val="clear" w:pos="720"/>
          <w:tab w:val="left" w:pos="1080"/>
        </w:tabs>
        <w:ind w:left="0" w:firstLine="540"/>
      </w:pPr>
      <w:r w:rsidRPr="00647EA2">
        <w:t>Respondent New York State Public Service Commission (“PSC”) is an administrative agency of the State of New York, headquartered at 3 Empire State Plaza, Albany, NY 12223, and maintaining offices at 90 Church Street, New York, NY 10007.</w:t>
      </w:r>
    </w:p>
    <w:p w14:paraId="1577918D" w14:textId="77D21A54" w:rsidR="00647EA2" w:rsidRDefault="00647EA2" w:rsidP="00647EA2">
      <w:pPr>
        <w:numPr>
          <w:ilvl w:val="0"/>
          <w:numId w:val="15"/>
        </w:numPr>
        <w:tabs>
          <w:tab w:val="clear" w:pos="720"/>
          <w:tab w:val="left" w:pos="1080"/>
        </w:tabs>
        <w:ind w:left="0" w:firstLine="540"/>
      </w:pPr>
      <w:r w:rsidRPr="00647EA2">
        <w:t>The PSC regulates electric service pursuant to the New York Public Service Law and is the state agency that issued the unlawful and erroneous 2025 Order challenged in this proceeding.</w:t>
      </w:r>
    </w:p>
    <w:p w14:paraId="7CD7A76A" w14:textId="77777777" w:rsidR="00C211FD" w:rsidRDefault="00647EA2" w:rsidP="00647EA2">
      <w:pPr>
        <w:numPr>
          <w:ilvl w:val="0"/>
          <w:numId w:val="15"/>
        </w:numPr>
        <w:tabs>
          <w:tab w:val="clear" w:pos="720"/>
          <w:tab w:val="left" w:pos="1080"/>
        </w:tabs>
        <w:ind w:left="0" w:firstLine="540"/>
      </w:pPr>
      <w:r w:rsidRPr="00647EA2">
        <w:t>Respondent L+M Development Partners LLC (“L+M”) is a for-profit real estate development company organized under the laws of the State of New York, with offices in New York County.</w:t>
      </w:r>
    </w:p>
    <w:p w14:paraId="18FFC5E3" w14:textId="77777777" w:rsidR="00C211FD" w:rsidRDefault="00647EA2" w:rsidP="00647EA2">
      <w:pPr>
        <w:numPr>
          <w:ilvl w:val="0"/>
          <w:numId w:val="15"/>
        </w:numPr>
        <w:tabs>
          <w:tab w:val="clear" w:pos="720"/>
          <w:tab w:val="left" w:pos="1080"/>
        </w:tabs>
        <w:ind w:left="0" w:firstLine="540"/>
      </w:pPr>
      <w:r w:rsidRPr="00647EA2">
        <w:t>L+M is the beneficial owner of the Affected Buildings and the primary beneficiary of the PSC’s April 28, 2025 Order.</w:t>
      </w:r>
    </w:p>
    <w:p w14:paraId="6F2AE375" w14:textId="77777777" w:rsidR="00C211FD" w:rsidRDefault="00647EA2" w:rsidP="00647EA2">
      <w:pPr>
        <w:numPr>
          <w:ilvl w:val="0"/>
          <w:numId w:val="15"/>
        </w:numPr>
        <w:tabs>
          <w:tab w:val="clear" w:pos="720"/>
          <w:tab w:val="left" w:pos="1080"/>
        </w:tabs>
        <w:ind w:left="0" w:firstLine="540"/>
      </w:pPr>
      <w:r w:rsidRPr="00647EA2">
        <w:lastRenderedPageBreak/>
        <w:t>Respondent C+C Apartment Management LLC (“C+C”) is a property management company that manages the day-to-day operations of the Affected Buildings, including the implementation of submetering programs pursuant to the challenged Order.</w:t>
      </w:r>
    </w:p>
    <w:p w14:paraId="06CFF50E" w14:textId="77777777" w:rsidR="00C211FD" w:rsidRDefault="00647EA2" w:rsidP="00647EA2">
      <w:pPr>
        <w:numPr>
          <w:ilvl w:val="0"/>
          <w:numId w:val="15"/>
        </w:numPr>
        <w:tabs>
          <w:tab w:val="clear" w:pos="720"/>
          <w:tab w:val="left" w:pos="1080"/>
        </w:tabs>
        <w:ind w:left="0" w:firstLine="540"/>
      </w:pPr>
      <w:r w:rsidRPr="00647EA2">
        <w:t xml:space="preserve">L+M and C+C are closely controlled by their beneficial owner, billionaire real estate developer Ron Moelis. </w:t>
      </w:r>
      <w:r w:rsidR="00C211FD">
        <w:t xml:space="preserve"> </w:t>
      </w:r>
      <w:r w:rsidRPr="00647EA2">
        <w:t>For clarity, this Petition refers to these private real estate Respondents collectively as “the Landlord” and uses the pronouns “he,” “him,” and “his” to reflect the centralized control exercised by Mr. Moelis over the Affected Buildings.</w:t>
      </w:r>
    </w:p>
    <w:p w14:paraId="31CF74B2" w14:textId="77777777" w:rsidR="00C211FD" w:rsidRDefault="00647EA2" w:rsidP="00647EA2">
      <w:pPr>
        <w:numPr>
          <w:ilvl w:val="0"/>
          <w:numId w:val="15"/>
        </w:numPr>
        <w:tabs>
          <w:tab w:val="clear" w:pos="720"/>
          <w:tab w:val="left" w:pos="1080"/>
        </w:tabs>
        <w:ind w:left="0" w:firstLine="540"/>
      </w:pPr>
      <w:r w:rsidRPr="00647EA2">
        <w:t>The record title owners of each of the Affected Buildings are holding companies organized under the laws of the State of Delaware. Each holding company is a wholly-owned subsidiary of L+M and is directly controlled by Ron Moelis.</w:t>
      </w:r>
    </w:p>
    <w:p w14:paraId="7EB32040" w14:textId="77777777" w:rsidR="00C211FD" w:rsidRDefault="00647EA2" w:rsidP="00647EA2">
      <w:pPr>
        <w:numPr>
          <w:ilvl w:val="0"/>
          <w:numId w:val="15"/>
        </w:numPr>
        <w:tabs>
          <w:tab w:val="clear" w:pos="720"/>
          <w:tab w:val="left" w:pos="1080"/>
        </w:tabs>
        <w:ind w:left="0" w:firstLine="540"/>
      </w:pPr>
      <w:r w:rsidRPr="00647EA2">
        <w:t>Respondent Heritage Holdings LLC is the record owner of Schomburg Plaza, located at 1295 Fifth Avenue, 1309 Fifth Avenue, and 1660 Madison Avenue, New York, New York. Heritage Holdings LLC is wholly owned and controlled by L+M.</w:t>
      </w:r>
    </w:p>
    <w:p w14:paraId="0B905014" w14:textId="11F9F032" w:rsidR="00C211FD" w:rsidRDefault="00647EA2" w:rsidP="00647EA2">
      <w:pPr>
        <w:numPr>
          <w:ilvl w:val="0"/>
          <w:numId w:val="15"/>
        </w:numPr>
        <w:tabs>
          <w:tab w:val="clear" w:pos="720"/>
          <w:tab w:val="left" w:pos="1080"/>
        </w:tabs>
        <w:ind w:left="0" w:firstLine="540"/>
      </w:pPr>
      <w:r w:rsidRPr="00647EA2">
        <w:t xml:space="preserve">Respondent River Crossing </w:t>
      </w:r>
      <w:r w:rsidR="00DC1F2C">
        <w:t>Owner</w:t>
      </w:r>
      <w:r w:rsidRPr="00647EA2">
        <w:t xml:space="preserve"> LLC is the record owner of River Crossing, located at 1940–1966 First Avenue and 420 East 102nd Street, New York, New York. River Crossing Holdings LLC is wholly owned and controlled by L+M.</w:t>
      </w:r>
    </w:p>
    <w:p w14:paraId="3D9BD957" w14:textId="6503C854" w:rsidR="00C211FD" w:rsidRDefault="00647EA2" w:rsidP="00647EA2">
      <w:pPr>
        <w:numPr>
          <w:ilvl w:val="0"/>
          <w:numId w:val="15"/>
        </w:numPr>
        <w:tabs>
          <w:tab w:val="clear" w:pos="720"/>
          <w:tab w:val="left" w:pos="1080"/>
        </w:tabs>
        <w:ind w:left="0" w:firstLine="540"/>
      </w:pPr>
      <w:r w:rsidRPr="00647EA2">
        <w:t xml:space="preserve">Respondent Roosevelt Landings </w:t>
      </w:r>
      <w:r w:rsidR="00040AC7">
        <w:t>O</w:t>
      </w:r>
      <w:r w:rsidR="00084952">
        <w:t>wner</w:t>
      </w:r>
      <w:r w:rsidRPr="00647EA2">
        <w:t xml:space="preserve"> LLC is the record owner of Roosevelt Landings, located at 510–580 Main Street, Roosevelt </w:t>
      </w:r>
      <w:r w:rsidRPr="00647EA2">
        <w:lastRenderedPageBreak/>
        <w:t>Island, New York. Roosevelt Landings Holdings LLC is wholly owned and controlled by L+M.</w:t>
      </w:r>
    </w:p>
    <w:p w14:paraId="017B9370" w14:textId="12ECECC5" w:rsidR="00C211FD" w:rsidRDefault="00647EA2" w:rsidP="00647EA2">
      <w:pPr>
        <w:numPr>
          <w:ilvl w:val="0"/>
          <w:numId w:val="15"/>
        </w:numPr>
        <w:tabs>
          <w:tab w:val="clear" w:pos="720"/>
          <w:tab w:val="left" w:pos="1080"/>
        </w:tabs>
        <w:ind w:left="0" w:firstLine="540"/>
      </w:pPr>
      <w:r w:rsidRPr="00647EA2">
        <w:t xml:space="preserve">Respondent Miles and Parker </w:t>
      </w:r>
      <w:r w:rsidR="00822DB9">
        <w:t>Owner</w:t>
      </w:r>
      <w:r w:rsidRPr="00647EA2">
        <w:t xml:space="preserve"> LLC is the record owner of the Miles and Parker buildings, located at 1890 and 1990 Lexington Avenue, New York, New York. Miles and Parker Holdings LLC is wholly owned and controlled by L+M.</w:t>
      </w:r>
    </w:p>
    <w:p w14:paraId="3138C5AA" w14:textId="350F73DF" w:rsidR="00647EA2" w:rsidRDefault="00647EA2" w:rsidP="00C211FD">
      <w:pPr>
        <w:numPr>
          <w:ilvl w:val="0"/>
          <w:numId w:val="15"/>
        </w:numPr>
        <w:tabs>
          <w:tab w:val="clear" w:pos="720"/>
          <w:tab w:val="left" w:pos="1080"/>
        </w:tabs>
        <w:ind w:left="0" w:firstLine="540"/>
      </w:pPr>
      <w:r w:rsidRPr="00647EA2">
        <w:t>Each of the foregoing Respondents is a necessary and indispensable party to this proceeding because they are directly responsible for requesting, implementing, and profiting from the PSC’s 2025 Order. In the event that the 2025 Order is annulled, they must be enjoined from carrying out their submetering scheme.</w:t>
      </w:r>
    </w:p>
    <w:p w14:paraId="2623D8AF" w14:textId="77777777" w:rsidR="000A6FBE" w:rsidRDefault="00966148" w:rsidP="000A6FBE">
      <w:pPr>
        <w:pStyle w:val="Heading1"/>
      </w:pPr>
      <w:bookmarkStart w:id="16" w:name="_Toc207020479"/>
      <w:bookmarkStart w:id="17" w:name="_Toc207020541"/>
      <w:bookmarkStart w:id="18" w:name="_Toc207109649"/>
      <w:r w:rsidRPr="00B53EEA">
        <w:t>JURISDICTION AND VENUE</w:t>
      </w:r>
      <w:bookmarkEnd w:id="16"/>
      <w:bookmarkEnd w:id="17"/>
      <w:bookmarkEnd w:id="18"/>
    </w:p>
    <w:p w14:paraId="65CC0FF5" w14:textId="77777777" w:rsidR="00861B46" w:rsidRDefault="00861B46" w:rsidP="00861B46">
      <w:pPr>
        <w:numPr>
          <w:ilvl w:val="0"/>
          <w:numId w:val="15"/>
        </w:numPr>
        <w:tabs>
          <w:tab w:val="clear" w:pos="720"/>
          <w:tab w:val="left" w:pos="1080"/>
        </w:tabs>
        <w:ind w:left="0" w:firstLine="540"/>
      </w:pPr>
      <w:r>
        <w:t>Jurisdiction is proper under Article 78 of the CPLR because Petitioners challenge a final determination of the PSC, a state agency, namely its April 28, 2025 Order.</w:t>
      </w:r>
    </w:p>
    <w:p w14:paraId="1E05C8C5" w14:textId="77777777" w:rsidR="00861B46" w:rsidRDefault="00861B46" w:rsidP="00861B46">
      <w:pPr>
        <w:numPr>
          <w:ilvl w:val="0"/>
          <w:numId w:val="15"/>
        </w:numPr>
        <w:tabs>
          <w:tab w:val="clear" w:pos="720"/>
          <w:tab w:val="left" w:pos="1080"/>
        </w:tabs>
        <w:ind w:left="0" w:firstLine="540"/>
      </w:pPr>
      <w:r>
        <w:t>Petitioners also challenge the constructive denial of their Amended Petition for Rehearing filed with the PSC on June 2, 2025.</w:t>
      </w:r>
    </w:p>
    <w:p w14:paraId="46C6444D" w14:textId="77777777" w:rsidR="00C4322D" w:rsidRDefault="00861B46" w:rsidP="00C4322D">
      <w:pPr>
        <w:numPr>
          <w:ilvl w:val="0"/>
          <w:numId w:val="15"/>
        </w:numPr>
        <w:tabs>
          <w:tab w:val="clear" w:pos="720"/>
          <w:tab w:val="left" w:pos="1080"/>
        </w:tabs>
        <w:ind w:left="0" w:firstLine="540"/>
      </w:pPr>
      <w:r>
        <w:t>This Court further has jurisdiction to issue a declaratory judgment pursuant to CPLR 3001 and to grant injunctive relief pursuant to CPLR 6301, as Petitioners seek both judicial review of agency action and provisional relief to prevent immediate and irreparable harm from implementation of the PSC’s Order by the Landlord.</w:t>
      </w:r>
    </w:p>
    <w:p w14:paraId="7FD83D2A" w14:textId="77777777" w:rsidR="00C4322D" w:rsidRDefault="00861B46" w:rsidP="00C4322D">
      <w:pPr>
        <w:numPr>
          <w:ilvl w:val="0"/>
          <w:numId w:val="15"/>
        </w:numPr>
        <w:tabs>
          <w:tab w:val="clear" w:pos="720"/>
          <w:tab w:val="left" w:pos="1080"/>
        </w:tabs>
        <w:ind w:left="0" w:firstLine="540"/>
      </w:pPr>
      <w:r>
        <w:lastRenderedPageBreak/>
        <w:t>Venue is proper in New York County under CPLR 506(b) because the proceeding challenges an order affecting housing accommodations located in New York County, where Petitioners reside and where the underlying facts occurred.</w:t>
      </w:r>
    </w:p>
    <w:p w14:paraId="7E48F461" w14:textId="77777777" w:rsidR="00C4322D" w:rsidRDefault="00861B46" w:rsidP="00C4322D">
      <w:pPr>
        <w:numPr>
          <w:ilvl w:val="0"/>
          <w:numId w:val="15"/>
        </w:numPr>
        <w:tabs>
          <w:tab w:val="clear" w:pos="720"/>
          <w:tab w:val="left" w:pos="1080"/>
        </w:tabs>
        <w:ind w:left="0" w:firstLine="540"/>
      </w:pPr>
      <w:r>
        <w:t>Respondent Landlord is a necessary and indispensable party under CPLR 1001(a) because he is the direct beneficiary of the 2025 Order. Absent judicial intervention, the Landlord will imminently act on that Order by billing tenants for electricity and enforcing unlawful, excessive, and exorbitant charges as rent, thereby placing tenants at risk of eviction and substantial financial harm.</w:t>
      </w:r>
    </w:p>
    <w:p w14:paraId="2B663805" w14:textId="77777777" w:rsidR="00C4322D" w:rsidRDefault="00861B46" w:rsidP="00C4322D">
      <w:pPr>
        <w:numPr>
          <w:ilvl w:val="0"/>
          <w:numId w:val="15"/>
        </w:numPr>
        <w:tabs>
          <w:tab w:val="clear" w:pos="720"/>
          <w:tab w:val="left" w:pos="1080"/>
        </w:tabs>
        <w:ind w:left="0" w:firstLine="540"/>
      </w:pPr>
      <w:r>
        <w:t>Petitioners therefore seek not only judicial review of the PSC’s action, but also (i) a declaratory judgment under CPLR 3001 declaring the 2025 Order unlawful and void, and declaring the Landlord unfit to serve as a submeterer; and (ii) a temporary restraining order, preliminary injunction, and permanent injunction under CPLR 6301–6313 restraining the Landlord from implementing submetering or enforcing any related surcharges.</w:t>
      </w:r>
    </w:p>
    <w:p w14:paraId="343AAEA9" w14:textId="3E730B6C" w:rsidR="00861B46" w:rsidRDefault="00861B46" w:rsidP="00C4322D">
      <w:pPr>
        <w:numPr>
          <w:ilvl w:val="0"/>
          <w:numId w:val="15"/>
        </w:numPr>
        <w:tabs>
          <w:tab w:val="clear" w:pos="720"/>
          <w:tab w:val="left" w:pos="1080"/>
        </w:tabs>
        <w:ind w:left="0" w:firstLine="540"/>
      </w:pPr>
      <w:r>
        <w:t>Without such injunctive relief, any judgment in this proceeding would be incomplete and ineffective, and Petitioners would face immediate and irreparable harm even if they prevail on the merits.</w:t>
      </w:r>
    </w:p>
    <w:p w14:paraId="74E67A2B" w14:textId="77777777" w:rsidR="00A83A40" w:rsidRDefault="00A83A40" w:rsidP="003B1690">
      <w:pPr>
        <w:pStyle w:val="Heading1"/>
      </w:pPr>
      <w:bookmarkStart w:id="19" w:name="_Toc207020480"/>
      <w:bookmarkStart w:id="20" w:name="_Toc207020542"/>
      <w:bookmarkStart w:id="21" w:name="_Toc207109650"/>
      <w:r>
        <w:t>STANDARD OF REVIEW</w:t>
      </w:r>
      <w:bookmarkEnd w:id="19"/>
      <w:bookmarkEnd w:id="20"/>
      <w:bookmarkEnd w:id="21"/>
    </w:p>
    <w:p w14:paraId="79E0BDA8" w14:textId="77777777" w:rsidR="001160EF" w:rsidRDefault="001160EF" w:rsidP="001160EF">
      <w:pPr>
        <w:numPr>
          <w:ilvl w:val="0"/>
          <w:numId w:val="15"/>
        </w:numPr>
        <w:tabs>
          <w:tab w:val="clear" w:pos="720"/>
          <w:tab w:val="left" w:pos="1080"/>
        </w:tabs>
        <w:ind w:left="0" w:firstLine="540"/>
      </w:pPr>
      <w:r>
        <w:lastRenderedPageBreak/>
        <w:t>This proceeding is brought pursuant to CPLR Article 78 to challenge the April 28, 2025 Order of the New York State Public Service Commission (“PSC”), a state agency.</w:t>
      </w:r>
    </w:p>
    <w:p w14:paraId="675FD695" w14:textId="77777777" w:rsidR="004302B8" w:rsidRDefault="001160EF" w:rsidP="004302B8">
      <w:pPr>
        <w:numPr>
          <w:ilvl w:val="0"/>
          <w:numId w:val="15"/>
        </w:numPr>
        <w:tabs>
          <w:tab w:val="clear" w:pos="720"/>
          <w:tab w:val="left" w:pos="1080"/>
        </w:tabs>
        <w:ind w:left="0" w:firstLine="540"/>
      </w:pPr>
      <w:r>
        <w:t>Under CPLR 7803(3), a court reviewing an administrative determination must ascertain whether the decision was affected by an error of law, was arbitrary and capricious, or constituted an abuse of discretion, including abuse of discretion as to the manner of effecting the result. See CPLR 7803(3).</w:t>
      </w:r>
    </w:p>
    <w:p w14:paraId="16906CEB" w14:textId="77777777" w:rsidR="004302B8" w:rsidRDefault="001160EF" w:rsidP="004302B8">
      <w:pPr>
        <w:numPr>
          <w:ilvl w:val="0"/>
          <w:numId w:val="15"/>
        </w:numPr>
        <w:tabs>
          <w:tab w:val="clear" w:pos="720"/>
          <w:tab w:val="left" w:pos="1080"/>
        </w:tabs>
        <w:ind w:left="0" w:firstLine="540"/>
      </w:pPr>
      <w:r>
        <w:t>An agency action is arbitrary and capricious when it lacks a rational basis or when the agency fails to follow its own rules. Courts may annul determinations that are contrary to governing regulations, unsupported by substantial evidence, or otherwise irrational. See Matter of Pell v. Bd. of Educ., 34 N.Y.2d 222, 231 (1974).</w:t>
      </w:r>
    </w:p>
    <w:p w14:paraId="1259C507" w14:textId="77777777" w:rsidR="004302B8" w:rsidRDefault="001160EF" w:rsidP="004302B8">
      <w:pPr>
        <w:numPr>
          <w:ilvl w:val="0"/>
          <w:numId w:val="15"/>
        </w:numPr>
        <w:tabs>
          <w:tab w:val="clear" w:pos="720"/>
          <w:tab w:val="left" w:pos="1080"/>
        </w:tabs>
        <w:ind w:left="0" w:firstLine="540"/>
      </w:pPr>
      <w:r>
        <w:t>Judicial review is particularly appropriate where an agency fails to engage in reasoned decision-making, disregards material evidence in the record, or fails to address important issues raised by petitioners. See Matter of Charles A. Field Delivery Serv., Inc. v. Roberts, 66 N.Y.2d 516, 520 (1985).</w:t>
      </w:r>
    </w:p>
    <w:p w14:paraId="0ED1697D" w14:textId="1E8831A6" w:rsidR="001160EF" w:rsidRDefault="001160EF" w:rsidP="004302B8">
      <w:pPr>
        <w:numPr>
          <w:ilvl w:val="0"/>
          <w:numId w:val="15"/>
        </w:numPr>
        <w:tabs>
          <w:tab w:val="clear" w:pos="720"/>
          <w:tab w:val="left" w:pos="1080"/>
        </w:tabs>
        <w:ind w:left="0" w:firstLine="540"/>
      </w:pPr>
      <w:r>
        <w:t xml:space="preserve">In addition to Article 78 review, this Court has jurisdiction to issue declaratory relief under CPLR 3001 and to grant provisional and permanent injunctive relief under CPLR 6301–6313. Such remedies are warranted where agency action threatens </w:t>
      </w:r>
      <w:r>
        <w:lastRenderedPageBreak/>
        <w:t>immediate, irreparable harm and where Petitioners have demonstrated a likelihood of success on the merits.</w:t>
      </w:r>
    </w:p>
    <w:p w14:paraId="09463036" w14:textId="4D4ADE14" w:rsidR="00DF1F84" w:rsidRDefault="00DF1F84" w:rsidP="00DF1F84">
      <w:pPr>
        <w:pStyle w:val="Heading1"/>
      </w:pPr>
      <w:bookmarkStart w:id="22" w:name="_Toc207020481"/>
      <w:bookmarkStart w:id="23" w:name="_Toc207020543"/>
      <w:bookmarkStart w:id="24" w:name="_Toc207109651"/>
      <w:r>
        <w:t>FACTS</w:t>
      </w:r>
      <w:bookmarkEnd w:id="22"/>
      <w:bookmarkEnd w:id="23"/>
      <w:bookmarkEnd w:id="24"/>
    </w:p>
    <w:p w14:paraId="327AA717" w14:textId="624F19C1" w:rsidR="00FD1BF2" w:rsidRDefault="002D1769" w:rsidP="00FD1BF2">
      <w:pPr>
        <w:pStyle w:val="Heading2"/>
      </w:pPr>
      <w:bookmarkStart w:id="25" w:name="_Toc207020482"/>
      <w:bookmarkStart w:id="26" w:name="_Toc207020544"/>
      <w:bookmarkStart w:id="27" w:name="_Toc207109652"/>
      <w:r>
        <w:t>The History of Submeter</w:t>
      </w:r>
      <w:r w:rsidR="00325BCE">
        <w:t>ing at</w:t>
      </w:r>
      <w:r w:rsidR="002C4A22">
        <w:t xml:space="preserve"> the Affected Buildings</w:t>
      </w:r>
      <w:bookmarkEnd w:id="25"/>
      <w:bookmarkEnd w:id="26"/>
      <w:r w:rsidR="00FD1BF2">
        <w:t xml:space="preserve"> (2008-2011)</w:t>
      </w:r>
      <w:bookmarkEnd w:id="27"/>
    </w:p>
    <w:p w14:paraId="03A26F67" w14:textId="77777777" w:rsidR="00FE5628" w:rsidRDefault="00FD1BF2" w:rsidP="004028B6">
      <w:pPr>
        <w:numPr>
          <w:ilvl w:val="0"/>
          <w:numId w:val="15"/>
        </w:numPr>
        <w:tabs>
          <w:tab w:val="clear" w:pos="720"/>
          <w:tab w:val="left" w:pos="1080"/>
        </w:tabs>
        <w:ind w:left="0" w:firstLine="540"/>
      </w:pPr>
      <w:r>
        <w:t>On July 16, 2008, the prior owner of the Affected Buildings petitioned the PSC to implement submetering</w:t>
      </w:r>
      <w:r w:rsidR="00FE5628">
        <w:t xml:space="preserve"> for the first time</w:t>
      </w:r>
      <w:r>
        <w:t xml:space="preserve">.  </w:t>
      </w:r>
    </w:p>
    <w:p w14:paraId="7657A528" w14:textId="77503942" w:rsidR="004028B6" w:rsidRDefault="00FD1BF2" w:rsidP="004028B6">
      <w:pPr>
        <w:numPr>
          <w:ilvl w:val="0"/>
          <w:numId w:val="15"/>
        </w:numPr>
        <w:tabs>
          <w:tab w:val="clear" w:pos="720"/>
          <w:tab w:val="left" w:pos="1080"/>
        </w:tabs>
        <w:ind w:left="0" w:firstLine="540"/>
      </w:pPr>
      <w:r>
        <w:t xml:space="preserve">Submetering is a system in which the landlord installs individual </w:t>
      </w:r>
      <w:r w:rsidR="004028B6">
        <w:t>sub</w:t>
      </w:r>
      <w:r>
        <w:t xml:space="preserve">meters </w:t>
      </w:r>
      <w:r w:rsidR="004028B6">
        <w:t xml:space="preserve">in each apartment, </w:t>
      </w:r>
      <w:r>
        <w:t xml:space="preserve">but remains the master account holder with Con Edison, thereby assuming the </w:t>
      </w:r>
      <w:r w:rsidR="00534941">
        <w:t>authority</w:t>
      </w:r>
      <w:r>
        <w:t xml:space="preserve"> of a utility provider</w:t>
      </w:r>
      <w:r w:rsidR="00644E55">
        <w:t xml:space="preserve">:  supervising the </w:t>
      </w:r>
      <w:r>
        <w:t>metering, billing</w:t>
      </w:r>
      <w:r w:rsidR="00771C97">
        <w:t xml:space="preserve"> each tenant</w:t>
      </w:r>
      <w:r>
        <w:t xml:space="preserve">, and enforcing payment for electricity as added rent. </w:t>
      </w:r>
      <w:r w:rsidRPr="004028B6">
        <w:rPr>
          <w:i/>
          <w:iCs/>
        </w:rPr>
        <w:t>See</w:t>
      </w:r>
      <w:r>
        <w:t xml:space="preserve"> 16 NYCRR Part 96.</w:t>
      </w:r>
    </w:p>
    <w:p w14:paraId="400D8027" w14:textId="4C331BC4" w:rsidR="00771C97" w:rsidRDefault="00FD1BF2" w:rsidP="004028B6">
      <w:pPr>
        <w:numPr>
          <w:ilvl w:val="0"/>
          <w:numId w:val="15"/>
        </w:numPr>
        <w:tabs>
          <w:tab w:val="clear" w:pos="720"/>
          <w:tab w:val="left" w:pos="1080"/>
        </w:tabs>
        <w:ind w:left="0" w:firstLine="540"/>
      </w:pPr>
      <w:r>
        <w:t xml:space="preserve">From the outset, tenants and elected officials objected that submetering at </w:t>
      </w:r>
      <w:r w:rsidR="004D4917">
        <w:t>the Affected Buildings</w:t>
      </w:r>
      <w:r>
        <w:t xml:space="preserve"> would be financially devastating and unsafe. </w:t>
      </w:r>
      <w:r w:rsidR="00771C97">
        <w:t xml:space="preserve"> </w:t>
      </w:r>
    </w:p>
    <w:p w14:paraId="5740A301" w14:textId="77777777" w:rsidR="0077310A" w:rsidRDefault="00FD1BF2" w:rsidP="0077310A">
      <w:pPr>
        <w:numPr>
          <w:ilvl w:val="0"/>
          <w:numId w:val="15"/>
        </w:numPr>
        <w:tabs>
          <w:tab w:val="clear" w:pos="720"/>
          <w:tab w:val="left" w:pos="1080"/>
        </w:tabs>
        <w:ind w:left="0" w:firstLine="540"/>
      </w:pPr>
      <w:r>
        <w:t>In February 2009, Congressman Charles Rangel, State Senator José Serrano, and Councilmember Melissa Mark-Viverito formally petitioned the PSC, warning that submetering would displace elderly, disabled, and low-income tenants, impose unaffordable bills exceeding $1,000 per month, and expose Section 8 voucher holders to eviction for nonpayment of inflated charges.</w:t>
      </w:r>
    </w:p>
    <w:p w14:paraId="0BE17A08" w14:textId="77777777" w:rsidR="0077310A" w:rsidRDefault="00FD1BF2" w:rsidP="0077310A">
      <w:pPr>
        <w:numPr>
          <w:ilvl w:val="0"/>
          <w:numId w:val="15"/>
        </w:numPr>
        <w:tabs>
          <w:tab w:val="clear" w:pos="720"/>
          <w:tab w:val="left" w:pos="1080"/>
        </w:tabs>
        <w:ind w:left="0" w:firstLine="540"/>
      </w:pPr>
      <w:r>
        <w:t xml:space="preserve">Tenant affidavits submitted in 2009 confirmed those warnings. </w:t>
      </w:r>
      <w:r w:rsidR="0077310A">
        <w:t xml:space="preserve"> </w:t>
      </w:r>
      <w:r>
        <w:t xml:space="preserve">Residents reported electricity bills ranging from $300 </w:t>
      </w:r>
      <w:r>
        <w:lastRenderedPageBreak/>
        <w:t xml:space="preserve">to over $1,000 — some greater than their entire monthly income. </w:t>
      </w:r>
      <w:r w:rsidR="0077310A">
        <w:t xml:space="preserve"> </w:t>
      </w:r>
      <w:r>
        <w:t>They described broken or missing thermostats, defective electric baseboard heaters, drafty windows, poor insulation, and the use of life-sustaining medical devices that increased consumption. Many testified that unpaid electric bills were being treated as “added rent” — subject to eviction in Housing Court, not the consumer protections of HEFPA.</w:t>
      </w:r>
    </w:p>
    <w:p w14:paraId="65E35B0E" w14:textId="77777777" w:rsidR="0068013A" w:rsidRDefault="00FD1BF2" w:rsidP="0068013A">
      <w:pPr>
        <w:numPr>
          <w:ilvl w:val="0"/>
          <w:numId w:val="15"/>
        </w:numPr>
        <w:tabs>
          <w:tab w:val="clear" w:pos="720"/>
          <w:tab w:val="left" w:pos="1080"/>
        </w:tabs>
        <w:ind w:left="0" w:firstLine="540"/>
      </w:pPr>
      <w:r>
        <w:t xml:space="preserve">Tenant associations across the Affected Buildings submitted joint opposition, representing 2,769 households. </w:t>
      </w:r>
      <w:r w:rsidR="0068013A">
        <w:t xml:space="preserve"> </w:t>
      </w:r>
      <w:r>
        <w:t xml:space="preserve">They stressed that rent reductions were illusory, covering less than 10% of actual electricity charges, and warned that families were forced to choose between heat and housing stability. </w:t>
      </w:r>
      <w:r w:rsidR="0068013A">
        <w:t xml:space="preserve"> </w:t>
      </w:r>
      <w:r>
        <w:t>They also pointed out that HEAP emergency assistance would not apply, because unpaid electric bills classified as “rent” would not trigger shutoff protections.</w:t>
      </w:r>
    </w:p>
    <w:p w14:paraId="3C782E08" w14:textId="77777777" w:rsidR="0068013A" w:rsidRDefault="00FD1BF2" w:rsidP="0068013A">
      <w:pPr>
        <w:numPr>
          <w:ilvl w:val="0"/>
          <w:numId w:val="15"/>
        </w:numPr>
        <w:tabs>
          <w:tab w:val="clear" w:pos="720"/>
          <w:tab w:val="left" w:pos="1080"/>
        </w:tabs>
        <w:ind w:left="0" w:firstLine="540"/>
      </w:pPr>
      <w:r>
        <w:t xml:space="preserve">Elected officials echoed and amplified these concerns. </w:t>
      </w:r>
      <w:r w:rsidR="0068013A">
        <w:t xml:space="preserve"> </w:t>
      </w:r>
      <w:r>
        <w:t>In 2009, Borough President Scott Stringer, Assemblymember Micah Kellner, State Senator Bill Perkins, and others wrote to the PSC, condemning the landlord’s proposal as a scheme to offload costs while retaining control of outdated, inefficient systems. They warned that submetering would function as a backdoor rent increase and a mechanism to displace low-income tenants in favor of higher-paying households.</w:t>
      </w:r>
    </w:p>
    <w:p w14:paraId="5FA042A9" w14:textId="77777777" w:rsidR="00C33021" w:rsidRDefault="00FD1BF2" w:rsidP="00C33021">
      <w:pPr>
        <w:numPr>
          <w:ilvl w:val="0"/>
          <w:numId w:val="15"/>
        </w:numPr>
        <w:tabs>
          <w:tab w:val="clear" w:pos="720"/>
          <w:tab w:val="left" w:pos="1080"/>
        </w:tabs>
        <w:ind w:left="0" w:firstLine="540"/>
      </w:pPr>
      <w:r>
        <w:lastRenderedPageBreak/>
        <w:t>In December 2010, Assemblymember Kellner, joined by Congresswoman Carolyn Maloney, Borough President Stringer, Senator Serrano, Senator Perkins, Assemblymember Keith Wright, and Councilmembers Melissa Mark-Viverito and Jessica Lappin, wrote again. They charged that the landlord had ignored PSC orders, failed to consult tenants, and continued to misclassify electric charges as “added rent,” exposing tenants to eviction in contravention of HEFPA. They urged denial of the revised submetering plan or, at minimum, a full evidentiary hearing.</w:t>
      </w:r>
    </w:p>
    <w:p w14:paraId="1749986C" w14:textId="77777777" w:rsidR="00C33021" w:rsidRDefault="00FD1BF2" w:rsidP="00C33021">
      <w:pPr>
        <w:numPr>
          <w:ilvl w:val="0"/>
          <w:numId w:val="15"/>
        </w:numPr>
        <w:tabs>
          <w:tab w:val="clear" w:pos="720"/>
          <w:tab w:val="left" w:pos="1080"/>
        </w:tabs>
        <w:ind w:left="0" w:firstLine="540"/>
      </w:pPr>
      <w:r>
        <w:t>Throughout 2009–2011, tenants consistently reported the same defects that persist today: nonfunctional heating systems, broken thermostats, drafty construction, mold, leaks, and vermin infestations. The PSC received hundreds of pages of evidence showing that tenants were being billed for electricity consumed by inefficient building systems that they could not control — conditions that have not improved over 16 years.</w:t>
      </w:r>
    </w:p>
    <w:p w14:paraId="47A39AD8" w14:textId="77777777" w:rsidR="00576E62" w:rsidRDefault="00FD1BF2" w:rsidP="00576E62">
      <w:pPr>
        <w:numPr>
          <w:ilvl w:val="0"/>
          <w:numId w:val="15"/>
        </w:numPr>
        <w:tabs>
          <w:tab w:val="clear" w:pos="720"/>
          <w:tab w:val="left" w:pos="1080"/>
        </w:tabs>
        <w:ind w:left="0" w:firstLine="540"/>
      </w:pPr>
      <w:r>
        <w:t xml:space="preserve">Ultimately, the PSC stayed implementation of submetering during this period, recognizing the validity of tenant and political opposition. </w:t>
      </w:r>
      <w:r w:rsidR="00C33021">
        <w:t xml:space="preserve"> </w:t>
      </w:r>
      <w:r>
        <w:t xml:space="preserve">Yet the underlying defects remain unchanged. </w:t>
      </w:r>
      <w:r w:rsidR="00C33021">
        <w:t xml:space="preserve"> </w:t>
      </w:r>
      <w:r>
        <w:t xml:space="preserve">The record demonstrates a clear through-line: </w:t>
      </w:r>
      <w:r w:rsidR="00C33021">
        <w:t xml:space="preserve"> </w:t>
      </w:r>
      <w:r>
        <w:t xml:space="preserve">both </w:t>
      </w:r>
      <w:r w:rsidR="00C33021">
        <w:t>during 2008-2011</w:t>
      </w:r>
      <w:r>
        <w:t xml:space="preserve"> and </w:t>
      </w:r>
      <w:r w:rsidR="00C33021">
        <w:t xml:space="preserve">again </w:t>
      </w:r>
      <w:r>
        <w:t>in 2025, submetering at these buildings is unaffordable, unsafe, and contrary to the public interest.</w:t>
      </w:r>
    </w:p>
    <w:p w14:paraId="544BF938" w14:textId="5D8D32D0" w:rsidR="00CF2F89" w:rsidRDefault="00CF2F89" w:rsidP="006776FA">
      <w:pPr>
        <w:pStyle w:val="Heading2"/>
      </w:pPr>
      <w:bookmarkStart w:id="28" w:name="_Toc207020483"/>
      <w:bookmarkStart w:id="29" w:name="_Toc207020545"/>
      <w:bookmarkStart w:id="30" w:name="_Toc207109653"/>
      <w:r>
        <w:t>The PSC’s 2011 Conditional Order</w:t>
      </w:r>
      <w:bookmarkEnd w:id="28"/>
      <w:bookmarkEnd w:id="29"/>
      <w:bookmarkEnd w:id="30"/>
    </w:p>
    <w:p w14:paraId="3C35E26E" w14:textId="38B5B06C" w:rsidR="00A509F4" w:rsidRDefault="00A509F4" w:rsidP="00BB0DA3">
      <w:pPr>
        <w:numPr>
          <w:ilvl w:val="0"/>
          <w:numId w:val="15"/>
        </w:numPr>
        <w:tabs>
          <w:tab w:val="clear" w:pos="720"/>
          <w:tab w:val="left" w:pos="1080"/>
        </w:tabs>
        <w:ind w:left="0" w:firstLine="540"/>
      </w:pPr>
      <w:r w:rsidRPr="00A509F4">
        <w:lastRenderedPageBreak/>
        <w:t>On August 11, 2011, the PSC issued a conditional order allowing submetering to begin at the Affected Buildings, provided that the Landlord comply with seven conditions precedent (the “2011 Order”), which were:</w:t>
      </w:r>
    </w:p>
    <w:p w14:paraId="29C4DA9B" w14:textId="3D3CF858" w:rsidR="00BB0DA3" w:rsidRDefault="00BB0DA3" w:rsidP="000358AF">
      <w:pPr>
        <w:numPr>
          <w:ilvl w:val="1"/>
          <w:numId w:val="15"/>
        </w:numPr>
        <w:tabs>
          <w:tab w:val="clear" w:pos="720"/>
          <w:tab w:val="left" w:pos="1440"/>
        </w:tabs>
        <w:spacing w:line="240" w:lineRule="auto"/>
        <w:ind w:left="1440" w:right="630"/>
      </w:pPr>
      <w:r w:rsidRPr="000358AF">
        <w:rPr>
          <w:b/>
          <w:bCs/>
        </w:rPr>
        <w:t>HEAP Registration</w:t>
      </w:r>
      <w:r w:rsidR="002D2E4E" w:rsidRPr="000358AF">
        <w:rPr>
          <w:b/>
          <w:bCs/>
        </w:rPr>
        <w:t>:</w:t>
      </w:r>
      <w:r w:rsidR="002D2E4E">
        <w:t xml:space="preserve">  </w:t>
      </w:r>
      <w:r>
        <w:t xml:space="preserve">register as a Home Energy Assistance Program (HEAP) vendor and </w:t>
      </w:r>
      <w:r w:rsidR="000358AF">
        <w:t>implement</w:t>
      </w:r>
      <w:r>
        <w:t xml:space="preserve"> an ongoing enrollment program</w:t>
      </w:r>
      <w:r w:rsidR="002D2E4E">
        <w:t>.</w:t>
      </w:r>
    </w:p>
    <w:p w14:paraId="64657606" w14:textId="77777777" w:rsidR="000358AF" w:rsidRDefault="000358AF" w:rsidP="000358AF">
      <w:pPr>
        <w:tabs>
          <w:tab w:val="clear" w:pos="720"/>
          <w:tab w:val="left" w:pos="1440"/>
        </w:tabs>
        <w:spacing w:line="240" w:lineRule="auto"/>
        <w:ind w:left="1440" w:right="630"/>
      </w:pPr>
    </w:p>
    <w:p w14:paraId="163BF7FC" w14:textId="2424ACDE" w:rsidR="002D2E4E" w:rsidRDefault="002D2E4E" w:rsidP="000358AF">
      <w:pPr>
        <w:numPr>
          <w:ilvl w:val="1"/>
          <w:numId w:val="15"/>
        </w:numPr>
        <w:tabs>
          <w:tab w:val="clear" w:pos="720"/>
          <w:tab w:val="left" w:pos="1440"/>
        </w:tabs>
        <w:spacing w:line="240" w:lineRule="auto"/>
        <w:ind w:left="1440" w:right="630"/>
      </w:pPr>
      <w:r w:rsidRPr="000358AF">
        <w:rPr>
          <w:b/>
          <w:bCs/>
        </w:rPr>
        <w:t>Programmable Thermostats</w:t>
      </w:r>
      <w:r>
        <w:t>:  install one programmable thermostat in the main living area of every apartment</w:t>
      </w:r>
      <w:r w:rsidR="006E7356">
        <w:t>.</w:t>
      </w:r>
    </w:p>
    <w:p w14:paraId="70C90779" w14:textId="77777777" w:rsidR="000358AF" w:rsidRDefault="000358AF" w:rsidP="000358AF">
      <w:pPr>
        <w:tabs>
          <w:tab w:val="clear" w:pos="720"/>
          <w:tab w:val="left" w:pos="1440"/>
        </w:tabs>
        <w:spacing w:line="240" w:lineRule="auto"/>
        <w:ind w:right="630"/>
      </w:pPr>
    </w:p>
    <w:p w14:paraId="45F12C59" w14:textId="27F69760" w:rsidR="00800381" w:rsidRDefault="00800381" w:rsidP="000358AF">
      <w:pPr>
        <w:numPr>
          <w:ilvl w:val="1"/>
          <w:numId w:val="15"/>
        </w:numPr>
        <w:tabs>
          <w:tab w:val="clear" w:pos="720"/>
          <w:tab w:val="left" w:pos="1440"/>
        </w:tabs>
        <w:spacing w:line="240" w:lineRule="auto"/>
        <w:ind w:left="1440" w:right="630"/>
      </w:pPr>
      <w:r w:rsidRPr="000358AF">
        <w:rPr>
          <w:b/>
          <w:bCs/>
        </w:rPr>
        <w:t>Refrigerator Replacements:</w:t>
      </w:r>
      <w:r>
        <w:t xml:space="preserve">  replace all refrigerators manufactured before 2001 with EnergyStar® rated refrigerators.</w:t>
      </w:r>
    </w:p>
    <w:p w14:paraId="3165C775" w14:textId="77777777" w:rsidR="000358AF" w:rsidRDefault="000358AF" w:rsidP="000358AF">
      <w:pPr>
        <w:tabs>
          <w:tab w:val="clear" w:pos="720"/>
          <w:tab w:val="left" w:pos="1440"/>
        </w:tabs>
        <w:spacing w:line="240" w:lineRule="auto"/>
        <w:ind w:right="630"/>
      </w:pPr>
    </w:p>
    <w:p w14:paraId="1D9DDC7A" w14:textId="47C77E38" w:rsidR="002D2E4E" w:rsidRDefault="001C7330" w:rsidP="000358AF">
      <w:pPr>
        <w:numPr>
          <w:ilvl w:val="1"/>
          <w:numId w:val="15"/>
        </w:numPr>
        <w:tabs>
          <w:tab w:val="clear" w:pos="720"/>
          <w:tab w:val="left" w:pos="1440"/>
        </w:tabs>
        <w:spacing w:line="240" w:lineRule="auto"/>
        <w:ind w:left="1440" w:right="630"/>
      </w:pPr>
      <w:r w:rsidRPr="000358AF">
        <w:rPr>
          <w:b/>
          <w:bCs/>
        </w:rPr>
        <w:t>NYSERDA Energy Reduction Plans (ERP):</w:t>
      </w:r>
      <w:r>
        <w:t xml:space="preserve"> </w:t>
      </w:r>
      <w:r w:rsidR="0023510B">
        <w:t xml:space="preserve"> </w:t>
      </w:r>
      <w:r w:rsidR="003E72F2">
        <w:t>c</w:t>
      </w:r>
      <w:r w:rsidR="0023510B" w:rsidRPr="0023510B">
        <w:t>omplete all building-wide Energy Reduction Plans under NYSERDA’s Multifamily Performance Program, and provide certificates of completion</w:t>
      </w:r>
      <w:r w:rsidR="0023510B">
        <w:t>.</w:t>
      </w:r>
    </w:p>
    <w:p w14:paraId="38FA7C9A" w14:textId="77777777" w:rsidR="000358AF" w:rsidRDefault="000358AF" w:rsidP="000358AF">
      <w:pPr>
        <w:tabs>
          <w:tab w:val="clear" w:pos="720"/>
          <w:tab w:val="left" w:pos="1440"/>
        </w:tabs>
        <w:spacing w:line="240" w:lineRule="auto"/>
        <w:ind w:right="630"/>
      </w:pPr>
    </w:p>
    <w:p w14:paraId="0EE6B430" w14:textId="1EDF6815" w:rsidR="001C7330" w:rsidRDefault="001C7330" w:rsidP="000358AF">
      <w:pPr>
        <w:numPr>
          <w:ilvl w:val="1"/>
          <w:numId w:val="15"/>
        </w:numPr>
        <w:tabs>
          <w:tab w:val="clear" w:pos="720"/>
          <w:tab w:val="left" w:pos="1440"/>
        </w:tabs>
        <w:spacing w:line="240" w:lineRule="auto"/>
        <w:ind w:left="1440" w:right="630"/>
      </w:pPr>
      <w:r w:rsidRPr="000358AF">
        <w:rPr>
          <w:b/>
          <w:bCs/>
        </w:rPr>
        <w:t>Energy Efficiency Education</w:t>
      </w:r>
      <w:r w:rsidR="003E72F2" w:rsidRPr="000358AF">
        <w:rPr>
          <w:b/>
          <w:bCs/>
        </w:rPr>
        <w:t>:</w:t>
      </w:r>
      <w:r w:rsidR="003E72F2">
        <w:t xml:space="preserve">  p</w:t>
      </w:r>
      <w:r w:rsidR="003E72F2" w:rsidRPr="003E72F2">
        <w:t>rovide tenants with written materials, monthly workshops, access to an energy-efficiency expert, and targeted one-on-one counseling for high users before submetering begins</w:t>
      </w:r>
      <w:r w:rsidR="003E72F2">
        <w:t>.</w:t>
      </w:r>
    </w:p>
    <w:p w14:paraId="3D27D98D" w14:textId="77777777" w:rsidR="004D4917" w:rsidRDefault="004D4917" w:rsidP="004D4917">
      <w:pPr>
        <w:pStyle w:val="ListParagraph"/>
      </w:pPr>
    </w:p>
    <w:p w14:paraId="74460482" w14:textId="77777777" w:rsidR="004D4917" w:rsidRDefault="004D4917" w:rsidP="004D4917">
      <w:pPr>
        <w:tabs>
          <w:tab w:val="clear" w:pos="720"/>
          <w:tab w:val="left" w:pos="1440"/>
        </w:tabs>
        <w:spacing w:line="240" w:lineRule="auto"/>
        <w:ind w:right="630"/>
      </w:pPr>
    </w:p>
    <w:p w14:paraId="38D2E351" w14:textId="53B76C0C" w:rsidR="001C7330" w:rsidRDefault="001C7330" w:rsidP="000358AF">
      <w:pPr>
        <w:numPr>
          <w:ilvl w:val="1"/>
          <w:numId w:val="15"/>
        </w:numPr>
        <w:tabs>
          <w:tab w:val="clear" w:pos="720"/>
          <w:tab w:val="left" w:pos="1440"/>
        </w:tabs>
        <w:spacing w:line="240" w:lineRule="auto"/>
        <w:ind w:left="1440" w:right="630"/>
      </w:pPr>
      <w:r w:rsidRPr="004D4917">
        <w:rPr>
          <w:b/>
          <w:bCs/>
        </w:rPr>
        <w:t>Notice Requirements</w:t>
      </w:r>
      <w:r w:rsidR="002B671A" w:rsidRPr="004D4917">
        <w:rPr>
          <w:b/>
          <w:bCs/>
        </w:rPr>
        <w:t>:</w:t>
      </w:r>
      <w:r w:rsidR="002B671A">
        <w:t xml:space="preserve">  </w:t>
      </w:r>
      <w:r w:rsidR="002B671A" w:rsidRPr="002B671A">
        <w:t>give tenants at least two months’ written notice before submetering starts.</w:t>
      </w:r>
    </w:p>
    <w:p w14:paraId="1B38E1BF" w14:textId="77777777" w:rsidR="000358AF" w:rsidRPr="002B671A" w:rsidRDefault="000358AF" w:rsidP="000358AF">
      <w:pPr>
        <w:tabs>
          <w:tab w:val="clear" w:pos="720"/>
          <w:tab w:val="left" w:pos="1440"/>
        </w:tabs>
        <w:spacing w:line="240" w:lineRule="auto"/>
        <w:ind w:right="630"/>
      </w:pPr>
    </w:p>
    <w:p w14:paraId="08D5AF1C" w14:textId="4D786517" w:rsidR="00D87658" w:rsidRDefault="001C7330" w:rsidP="000358AF">
      <w:pPr>
        <w:numPr>
          <w:ilvl w:val="1"/>
          <w:numId w:val="15"/>
        </w:numPr>
        <w:tabs>
          <w:tab w:val="clear" w:pos="720"/>
          <w:tab w:val="left" w:pos="1440"/>
        </w:tabs>
        <w:spacing w:line="240" w:lineRule="auto"/>
        <w:ind w:left="1440" w:right="630"/>
      </w:pPr>
      <w:r w:rsidRPr="000358AF">
        <w:rPr>
          <w:b/>
          <w:bCs/>
        </w:rPr>
        <w:t>HEFPA Protections</w:t>
      </w:r>
      <w:r w:rsidR="0092272B" w:rsidRPr="000358AF">
        <w:rPr>
          <w:b/>
          <w:bCs/>
        </w:rPr>
        <w:t>:</w:t>
      </w:r>
      <w:r w:rsidR="0092272B">
        <w:t xml:space="preserve">  c</w:t>
      </w:r>
      <w:r w:rsidR="0092272B" w:rsidRPr="0092272B">
        <w:t>ommit to affording tenants all Home Energy Fair Practices Act protections (deferred payment plans, complaint rights, medical/emergency protections, etc.) before any civil action or eviction could be pursued for nonpayment</w:t>
      </w:r>
      <w:r w:rsidR="0092272B">
        <w:t>.</w:t>
      </w:r>
    </w:p>
    <w:p w14:paraId="5BE277C3" w14:textId="77777777" w:rsidR="000358AF" w:rsidRDefault="000358AF" w:rsidP="000358AF">
      <w:pPr>
        <w:tabs>
          <w:tab w:val="clear" w:pos="720"/>
          <w:tab w:val="left" w:pos="1440"/>
        </w:tabs>
        <w:spacing w:line="240" w:lineRule="auto"/>
        <w:ind w:right="630"/>
      </w:pPr>
    </w:p>
    <w:p w14:paraId="481A918E" w14:textId="6552D9C6" w:rsidR="000358AF" w:rsidRDefault="000358AF" w:rsidP="000358AF">
      <w:pPr>
        <w:numPr>
          <w:ilvl w:val="0"/>
          <w:numId w:val="15"/>
        </w:numPr>
        <w:tabs>
          <w:tab w:val="clear" w:pos="720"/>
          <w:tab w:val="left" w:pos="1080"/>
        </w:tabs>
        <w:ind w:left="0" w:firstLine="540"/>
      </w:pPr>
      <w:r w:rsidRPr="000358AF">
        <w:t xml:space="preserve">Despite these explicit requirements, the </w:t>
      </w:r>
      <w:r w:rsidR="00D015EB">
        <w:t xml:space="preserve">current </w:t>
      </w:r>
      <w:r w:rsidRPr="000358AF">
        <w:t xml:space="preserve">Landlord </w:t>
      </w:r>
      <w:r w:rsidR="00B14316">
        <w:t xml:space="preserve">admitted in his 2024 Petition </w:t>
      </w:r>
      <w:r w:rsidR="00347A65">
        <w:t>that none</w:t>
      </w:r>
      <w:r w:rsidRPr="000358AF">
        <w:t xml:space="preserve"> </w:t>
      </w:r>
      <w:r w:rsidR="00347A65">
        <w:t>were</w:t>
      </w:r>
      <w:r w:rsidRPr="000358AF">
        <w:t xml:space="preserve"> ever satisfied, and </w:t>
      </w:r>
      <w:r w:rsidRPr="000358AF">
        <w:lastRenderedPageBreak/>
        <w:t>tenant testimony confirms that the promised protections — from working thermostats to HEFPA safeguards — were never delivered.</w:t>
      </w:r>
      <w:r w:rsidR="00863ADF">
        <w:t xml:space="preserve">  </w:t>
      </w:r>
    </w:p>
    <w:p w14:paraId="3C9F490E" w14:textId="0D660C68" w:rsidR="00863ADF" w:rsidRDefault="00863ADF" w:rsidP="000358AF">
      <w:pPr>
        <w:numPr>
          <w:ilvl w:val="0"/>
          <w:numId w:val="15"/>
        </w:numPr>
        <w:tabs>
          <w:tab w:val="clear" w:pos="720"/>
          <w:tab w:val="left" w:pos="1080"/>
        </w:tabs>
        <w:ind w:left="0" w:firstLine="540"/>
      </w:pPr>
      <w:r>
        <w:t>Ultimately, submetering never commenced at the Affected Buildings.</w:t>
      </w:r>
    </w:p>
    <w:p w14:paraId="7C34DD23" w14:textId="3E4E5F0B" w:rsidR="002C4A22" w:rsidRDefault="009A54F2" w:rsidP="006776FA">
      <w:pPr>
        <w:pStyle w:val="Heading2"/>
      </w:pPr>
      <w:bookmarkStart w:id="31" w:name="_Toc207020484"/>
      <w:bookmarkStart w:id="32" w:name="_Toc207020546"/>
      <w:bookmarkStart w:id="33" w:name="_Toc207109654"/>
      <w:r>
        <w:t>In 2024, t</w:t>
      </w:r>
      <w:r w:rsidR="00BC68C1">
        <w:t>he</w:t>
      </w:r>
      <w:r w:rsidR="00725B9B">
        <w:t xml:space="preserve"> Landlord </w:t>
      </w:r>
      <w:r w:rsidR="007F7814">
        <w:t xml:space="preserve">Petitioned </w:t>
      </w:r>
      <w:r w:rsidR="00AC4B61">
        <w:t xml:space="preserve">to Resurrect </w:t>
      </w:r>
      <w:r w:rsidR="00BC68C1">
        <w:t xml:space="preserve">the </w:t>
      </w:r>
      <w:r w:rsidR="00AC4B61">
        <w:t xml:space="preserve">Expired </w:t>
      </w:r>
      <w:r w:rsidR="00021DEF">
        <w:t>2011</w:t>
      </w:r>
      <w:r w:rsidR="00BC68C1">
        <w:t xml:space="preserve"> Order</w:t>
      </w:r>
      <w:bookmarkEnd w:id="31"/>
      <w:bookmarkEnd w:id="32"/>
      <w:bookmarkEnd w:id="33"/>
    </w:p>
    <w:p w14:paraId="1095A9CA" w14:textId="77777777" w:rsidR="00C15F7C" w:rsidRDefault="00C15F7C" w:rsidP="00C15F7C">
      <w:pPr>
        <w:numPr>
          <w:ilvl w:val="0"/>
          <w:numId w:val="15"/>
        </w:numPr>
        <w:tabs>
          <w:tab w:val="clear" w:pos="720"/>
          <w:tab w:val="left" w:pos="1080"/>
        </w:tabs>
        <w:ind w:left="0" w:firstLine="540"/>
      </w:pPr>
      <w:r>
        <w:t>From 2011 through 2016, no tenant received a single submetering bill, and all tenants continued to receive electricity as part of their rent. The prior owner never satisfied the conditions of the 2011 Order, submetering never commenced, and the approval expired by operation of law in 2016. See 16 NYCRR § 96.3(e).</w:t>
      </w:r>
    </w:p>
    <w:p w14:paraId="5E4047BD" w14:textId="77777777" w:rsidR="00C15F7C" w:rsidRDefault="00C15F7C" w:rsidP="00C15F7C">
      <w:pPr>
        <w:numPr>
          <w:ilvl w:val="0"/>
          <w:numId w:val="15"/>
        </w:numPr>
        <w:tabs>
          <w:tab w:val="clear" w:pos="720"/>
          <w:tab w:val="left" w:pos="1080"/>
        </w:tabs>
        <w:ind w:left="0" w:firstLine="540"/>
      </w:pPr>
      <w:r>
        <w:t>Three years later, in 2019, the current Landlord purchased the Affected Buildings. By then, the PSC’s 2011 approval had been expired for eight years.</w:t>
      </w:r>
    </w:p>
    <w:p w14:paraId="6A1AAE35" w14:textId="1760238B" w:rsidR="00C15F7C" w:rsidRDefault="00C15F7C" w:rsidP="00C15F7C">
      <w:pPr>
        <w:numPr>
          <w:ilvl w:val="0"/>
          <w:numId w:val="15"/>
        </w:numPr>
        <w:tabs>
          <w:tab w:val="clear" w:pos="720"/>
          <w:tab w:val="left" w:pos="1080"/>
        </w:tabs>
        <w:ind w:left="0" w:firstLine="540"/>
      </w:pPr>
      <w:r>
        <w:t>Five years after that, in 2024, the Landlord petitioned the PSC to “clarify” and effectively resurrect the long-expired 2011 approval, rather than filing the new petition required under Part 96.</w:t>
      </w:r>
    </w:p>
    <w:p w14:paraId="6BFA9AE7" w14:textId="200302DF" w:rsidR="00C25B39" w:rsidRDefault="00C25B39" w:rsidP="00C25B39">
      <w:pPr>
        <w:pStyle w:val="Heading3"/>
      </w:pPr>
      <w:bookmarkStart w:id="34" w:name="_Toc207109655"/>
      <w:r>
        <w:t>The 2019 Regulatory Agreements</w:t>
      </w:r>
      <w:r w:rsidR="00F75C60">
        <w:t>.</w:t>
      </w:r>
      <w:bookmarkEnd w:id="34"/>
    </w:p>
    <w:p w14:paraId="0875332F" w14:textId="77777777" w:rsidR="00241BFB" w:rsidRDefault="00241BFB" w:rsidP="00241BFB">
      <w:pPr>
        <w:numPr>
          <w:ilvl w:val="0"/>
          <w:numId w:val="15"/>
        </w:numPr>
        <w:tabs>
          <w:tab w:val="clear" w:pos="720"/>
          <w:tab w:val="left" w:pos="1080"/>
        </w:tabs>
        <w:ind w:left="0" w:firstLine="540"/>
      </w:pPr>
      <w:r>
        <w:t xml:space="preserve">Upon purchasing the Affected Buildings in 2019, the Landlord entered into binding Regulatory Agreements with the City of New York. In exchange for substantial tax breaks — estimated at $3 to $5 million per complex annually for 40 years — the Landlord </w:t>
      </w:r>
      <w:r>
        <w:lastRenderedPageBreak/>
        <w:t>promised to preserve affordability for hundreds of units by limiting rent increases to Rent Guidelines Board (RGB) levels.</w:t>
      </w:r>
    </w:p>
    <w:p w14:paraId="300A352D" w14:textId="39C9A96B" w:rsidR="00241BFB" w:rsidRDefault="00241BFB" w:rsidP="00241BFB">
      <w:pPr>
        <w:numPr>
          <w:ilvl w:val="0"/>
          <w:numId w:val="15"/>
        </w:numPr>
        <w:tabs>
          <w:tab w:val="clear" w:pos="720"/>
          <w:tab w:val="left" w:pos="1080"/>
        </w:tabs>
        <w:ind w:left="0" w:firstLine="540"/>
      </w:pPr>
      <w:r>
        <w:t>In practice, the Landlord has repeatedly breached these commitments. Since 2019, he has raised rents far above RGB guidelines, in some cases 5% to 18% annually for market-rate tenants, and as much as 10% every six months for Section 8 tenants — directly contradicting his obligations under the agreements.</w:t>
      </w:r>
    </w:p>
    <w:p w14:paraId="3680BA2C" w14:textId="6B558989" w:rsidR="00E83622" w:rsidRDefault="00E83622" w:rsidP="00E83622">
      <w:pPr>
        <w:pStyle w:val="Heading3"/>
      </w:pPr>
      <w:bookmarkStart w:id="35" w:name="_Toc207109656"/>
      <w:r>
        <w:t>The</w:t>
      </w:r>
      <w:r w:rsidR="00076B17">
        <w:t xml:space="preserve"> Landlord’s </w:t>
      </w:r>
      <w:r>
        <w:t xml:space="preserve">2024 Petition </w:t>
      </w:r>
      <w:r w:rsidR="00076B17">
        <w:t>and the Tenants’ Response.</w:t>
      </w:r>
      <w:bookmarkEnd w:id="35"/>
    </w:p>
    <w:p w14:paraId="633CDED8" w14:textId="77777777" w:rsidR="007838D2" w:rsidRDefault="006C4221" w:rsidP="007838D2">
      <w:pPr>
        <w:numPr>
          <w:ilvl w:val="0"/>
          <w:numId w:val="15"/>
        </w:numPr>
        <w:tabs>
          <w:tab w:val="left" w:pos="1080"/>
        </w:tabs>
        <w:ind w:left="0" w:firstLine="540"/>
      </w:pPr>
      <w:r>
        <w:t xml:space="preserve">In further contravention of his promise </w:t>
      </w:r>
      <w:r w:rsidR="005E645F">
        <w:t xml:space="preserve">to </w:t>
      </w:r>
      <w:r w:rsidR="003F4F5A">
        <w:t>guarantee</w:t>
      </w:r>
      <w:r w:rsidR="00C535E0">
        <w:t xml:space="preserve"> </w:t>
      </w:r>
      <w:r>
        <w:t xml:space="preserve">affordable housing at the Affected Buildings, </w:t>
      </w:r>
      <w:r w:rsidR="0045754E">
        <w:t xml:space="preserve">on March 28, 204 </w:t>
      </w:r>
      <w:r>
        <w:t xml:space="preserve">the Landlord </w:t>
      </w:r>
      <w:r w:rsidR="0045754E">
        <w:t xml:space="preserve">petitioned the PSC for an </w:t>
      </w:r>
      <w:r w:rsidR="0033657C">
        <w:t xml:space="preserve">order allowing him to </w:t>
      </w:r>
      <w:r w:rsidR="0031151C">
        <w:t xml:space="preserve">begin submetering of electricity and to </w:t>
      </w:r>
      <w:r w:rsidR="005662D2">
        <w:t xml:space="preserve">charge the tenants additional rent for the </w:t>
      </w:r>
      <w:r w:rsidR="00D1566E">
        <w:t xml:space="preserve">cost of </w:t>
      </w:r>
      <w:r w:rsidR="0055543F">
        <w:t xml:space="preserve">electricity they used, </w:t>
      </w:r>
      <w:r w:rsidR="004F4328">
        <w:t>which according to shadow bills from 20</w:t>
      </w:r>
      <w:r w:rsidR="0032501F">
        <w:t xml:space="preserve">09-2010 would have raised rents on average approximately </w:t>
      </w:r>
      <w:r w:rsidR="003531C5">
        <w:t>30% per year</w:t>
      </w:r>
      <w:r w:rsidR="005E645F">
        <w:t xml:space="preserve">, most of which the Landlord </w:t>
      </w:r>
      <w:r w:rsidR="007838D2">
        <w:t>intends to</w:t>
      </w:r>
      <w:r w:rsidR="005E645F">
        <w:t xml:space="preserve"> book as profit</w:t>
      </w:r>
      <w:r w:rsidR="005662D2">
        <w:t>.</w:t>
      </w:r>
    </w:p>
    <w:p w14:paraId="0B1B6BE3" w14:textId="77777777" w:rsidR="007838D2" w:rsidRDefault="007838D2" w:rsidP="007838D2">
      <w:pPr>
        <w:numPr>
          <w:ilvl w:val="0"/>
          <w:numId w:val="15"/>
        </w:numPr>
        <w:tabs>
          <w:tab w:val="left" w:pos="1080"/>
        </w:tabs>
        <w:ind w:left="0" w:firstLine="540"/>
      </w:pPr>
      <w:r>
        <w:t>The PSC established a sixty (60) day public comment period for tenants to respond.</w:t>
      </w:r>
    </w:p>
    <w:p w14:paraId="1AD6C213" w14:textId="77777777" w:rsidR="007838D2" w:rsidRDefault="007838D2" w:rsidP="007838D2">
      <w:pPr>
        <w:numPr>
          <w:ilvl w:val="0"/>
          <w:numId w:val="15"/>
        </w:numPr>
        <w:tabs>
          <w:tab w:val="left" w:pos="1080"/>
        </w:tabs>
        <w:ind w:left="0" w:firstLine="540"/>
      </w:pPr>
      <w:r>
        <w:t>Between June and August 2024, the Schomburg Residents’ Council (SRC) collected more than 200 sworn and signed statements from tenants — many elderly, disabled, or low-income — describing in their own words how submetering would endanger their health, housing stability, and financial security.</w:t>
      </w:r>
    </w:p>
    <w:p w14:paraId="0F247DB8" w14:textId="77777777" w:rsidR="00C5471E" w:rsidRDefault="007838D2" w:rsidP="007838D2">
      <w:pPr>
        <w:numPr>
          <w:ilvl w:val="0"/>
          <w:numId w:val="15"/>
        </w:numPr>
        <w:tabs>
          <w:tab w:val="left" w:pos="1080"/>
        </w:tabs>
        <w:ind w:left="0" w:firstLine="540"/>
      </w:pPr>
      <w:r>
        <w:lastRenderedPageBreak/>
        <w:t>These tenant statements echoed the same concerns raised in 2008 through 2011: chronic building neglect, lack of maintenance, unsafe living conditions, unaffordable electricity use due to defective heating systems</w:t>
      </w:r>
      <w:r w:rsidR="00C5471E">
        <w:t xml:space="preserve"> and lack of insulation in the exterior walls, </w:t>
      </w:r>
      <w:r>
        <w:t>high cooling costs during summer months, and a pervasive fear of eviction if unable to pay the added charges.</w:t>
      </w:r>
    </w:p>
    <w:p w14:paraId="08564EB4" w14:textId="77777777" w:rsidR="00A3583F" w:rsidRDefault="007838D2" w:rsidP="007838D2">
      <w:pPr>
        <w:numPr>
          <w:ilvl w:val="0"/>
          <w:numId w:val="15"/>
        </w:numPr>
        <w:tabs>
          <w:tab w:val="left" w:pos="1080"/>
        </w:tabs>
        <w:ind w:left="0" w:firstLine="540"/>
      </w:pPr>
      <w:r>
        <w:t xml:space="preserve">Tenants reported that the Landlord had continued the same practices as the prior owner, spending little on building upkeep while allowing hazardous conditions to persist. Complaints included malfunctioning baseboard heaters, lack of heat and water, frequent water leaks, black mold, offensive odors, drafty windows and walls, </w:t>
      </w:r>
      <w:r w:rsidR="00161F1D">
        <w:t xml:space="preserve">lack of insulation, </w:t>
      </w:r>
      <w:r>
        <w:t xml:space="preserve">vermin infestations (rats, mice, cockroaches, ants, and bedbugs), and chronically broken elevators. Many tenants stated they were forced to use </w:t>
      </w:r>
      <w:r w:rsidR="00A3583F">
        <w:t xml:space="preserve">their </w:t>
      </w:r>
      <w:r>
        <w:t xml:space="preserve">ovens </w:t>
      </w:r>
      <w:r w:rsidR="00161F1D">
        <w:t>and</w:t>
      </w:r>
      <w:r>
        <w:t xml:space="preserve"> plug-in space heaters during winter months simply to maintain habitable indoor temperatures.</w:t>
      </w:r>
    </w:p>
    <w:p w14:paraId="3575EBAB" w14:textId="77777777" w:rsidR="00A3583F" w:rsidRDefault="007838D2" w:rsidP="007838D2">
      <w:pPr>
        <w:numPr>
          <w:ilvl w:val="0"/>
          <w:numId w:val="15"/>
        </w:numPr>
        <w:tabs>
          <w:tab w:val="left" w:pos="1080"/>
        </w:tabs>
        <w:ind w:left="0" w:firstLine="540"/>
      </w:pPr>
      <w:r>
        <w:t xml:space="preserve">Numerous tenants also reported reliance on electricity for vital medical devices such as motorized wheelchairs, CPAP machines, and nebulizers. </w:t>
      </w:r>
      <w:r w:rsidR="00A3583F">
        <w:t xml:space="preserve"> </w:t>
      </w:r>
      <w:r>
        <w:t>They expressed concern that submetering would impose unaffordable charges for life-sustaining equipment and place medically vulnerable residents at heightened risk.</w:t>
      </w:r>
    </w:p>
    <w:p w14:paraId="5D970054" w14:textId="627B669A" w:rsidR="007838D2" w:rsidRDefault="007838D2" w:rsidP="00757AD5">
      <w:pPr>
        <w:numPr>
          <w:ilvl w:val="0"/>
          <w:numId w:val="15"/>
        </w:numPr>
        <w:tabs>
          <w:tab w:val="left" w:pos="1080"/>
        </w:tabs>
        <w:ind w:left="0" w:firstLine="540"/>
      </w:pPr>
      <w:r>
        <w:t xml:space="preserve">Senior citizens living on fixed incomes were particularly fearful that they would not be able to pay for both rent and electricity if submeters were installed. </w:t>
      </w:r>
      <w:r w:rsidR="00757AD5">
        <w:t xml:space="preserve"> </w:t>
      </w:r>
      <w:r>
        <w:t xml:space="preserve">Many expressed anxiety </w:t>
      </w:r>
      <w:r>
        <w:lastRenderedPageBreak/>
        <w:t>that submetering would ultimately lead to eviction and loss of long-term housing assistance, particularly for those relying on Section 8 vouchers.</w:t>
      </w:r>
    </w:p>
    <w:p w14:paraId="38485630" w14:textId="3CCC5D7D" w:rsidR="00DB56CF" w:rsidRDefault="00DB56CF" w:rsidP="006776FA">
      <w:pPr>
        <w:pStyle w:val="Heading2"/>
      </w:pPr>
      <w:bookmarkStart w:id="36" w:name="_Toc207020485"/>
      <w:bookmarkStart w:id="37" w:name="_Toc207020547"/>
      <w:bookmarkStart w:id="38" w:name="_Toc207109657"/>
      <w:r>
        <w:t xml:space="preserve">The </w:t>
      </w:r>
      <w:r w:rsidR="006A0205">
        <w:t xml:space="preserve">PSC’s </w:t>
      </w:r>
      <w:r>
        <w:t xml:space="preserve">2025 </w:t>
      </w:r>
      <w:r w:rsidR="00AA7F55">
        <w:t xml:space="preserve">Erroneous </w:t>
      </w:r>
      <w:r>
        <w:t>Order</w:t>
      </w:r>
      <w:bookmarkEnd w:id="36"/>
      <w:bookmarkEnd w:id="37"/>
      <w:bookmarkEnd w:id="38"/>
    </w:p>
    <w:p w14:paraId="729FC2E4" w14:textId="77777777" w:rsidR="00703E56" w:rsidRDefault="00703E56" w:rsidP="00703E56">
      <w:pPr>
        <w:numPr>
          <w:ilvl w:val="0"/>
          <w:numId w:val="15"/>
        </w:numPr>
        <w:tabs>
          <w:tab w:val="left" w:pos="1080"/>
        </w:tabs>
        <w:ind w:left="0" w:firstLine="540"/>
      </w:pPr>
      <w:r>
        <w:t>On April 28, 2025, the PSC granted the Landlord’s petition for “clarification” and “recommencement” of the long-expired 2011 Order. See Exhibit D.</w:t>
      </w:r>
    </w:p>
    <w:p w14:paraId="4D9D6A8C" w14:textId="77777777" w:rsidR="00703E56" w:rsidRDefault="00703E56" w:rsidP="00703E56">
      <w:pPr>
        <w:numPr>
          <w:ilvl w:val="0"/>
          <w:numId w:val="15"/>
        </w:numPr>
        <w:tabs>
          <w:tab w:val="left" w:pos="1080"/>
        </w:tabs>
        <w:ind w:left="0" w:firstLine="540"/>
      </w:pPr>
      <w:r>
        <w:t>As explained in detail below in the Argument section, the 2025 Order was issued in error and must be vacated.</w:t>
      </w:r>
    </w:p>
    <w:p w14:paraId="74D69162" w14:textId="77777777" w:rsidR="00703E56" w:rsidRDefault="00703E56" w:rsidP="00703E56">
      <w:pPr>
        <w:numPr>
          <w:ilvl w:val="0"/>
          <w:numId w:val="15"/>
        </w:numPr>
        <w:tabs>
          <w:tab w:val="left" w:pos="1080"/>
        </w:tabs>
        <w:ind w:left="0" w:firstLine="540"/>
      </w:pPr>
      <w:r>
        <w:t>On June 2, 2025, Petitioners timely filed an Amended Petition for Rehearing with the PSC pursuant to 16 NYCRR § 3.7, seeking vacatur of the 2025 Order.</w:t>
      </w:r>
    </w:p>
    <w:p w14:paraId="0F5055AE" w14:textId="77777777" w:rsidR="00703E56" w:rsidRDefault="00703E56" w:rsidP="00703E56">
      <w:pPr>
        <w:numPr>
          <w:ilvl w:val="0"/>
          <w:numId w:val="15"/>
        </w:numPr>
        <w:tabs>
          <w:tab w:val="left" w:pos="1080"/>
        </w:tabs>
        <w:ind w:left="0" w:firstLine="540"/>
      </w:pPr>
      <w:r>
        <w:t>As of the date of this filing, more than two and a half months have passed, and the PSC has taken no action on that petition. The PSC has issued no email, comment, letter, notice, meeting notice, conference schedule, or interim order granting or denying rehearing.</w:t>
      </w:r>
    </w:p>
    <w:p w14:paraId="6CBB3B4A" w14:textId="77777777" w:rsidR="00703E56" w:rsidRDefault="00703E56" w:rsidP="00703E56">
      <w:pPr>
        <w:numPr>
          <w:ilvl w:val="0"/>
          <w:numId w:val="15"/>
        </w:numPr>
        <w:tabs>
          <w:tab w:val="left" w:pos="1080"/>
        </w:tabs>
        <w:ind w:left="0" w:firstLine="540"/>
      </w:pPr>
      <w:r>
        <w:t>This prolonged inaction constitutes a constructive denial of Petitioners’ request for rehearing.</w:t>
      </w:r>
    </w:p>
    <w:p w14:paraId="222167BE" w14:textId="77777777" w:rsidR="00703E56" w:rsidRDefault="00703E56" w:rsidP="00703E56">
      <w:pPr>
        <w:numPr>
          <w:ilvl w:val="0"/>
          <w:numId w:val="15"/>
        </w:numPr>
        <w:tabs>
          <w:tab w:val="left" w:pos="1080"/>
        </w:tabs>
        <w:ind w:left="0" w:firstLine="540"/>
      </w:pPr>
      <w:r>
        <w:t>Because CPLR 217(1) requires that an Article 78 proceeding be commenced within 120 days of a final or effectively final agency determination, Petitioners are compelled to file the instant Petition to preserve their rights.</w:t>
      </w:r>
    </w:p>
    <w:p w14:paraId="7E7E7E2C" w14:textId="77777777" w:rsidR="00703E56" w:rsidRDefault="00703E56" w:rsidP="00703E56">
      <w:pPr>
        <w:numPr>
          <w:ilvl w:val="0"/>
          <w:numId w:val="15"/>
        </w:numPr>
        <w:tabs>
          <w:tab w:val="left" w:pos="1080"/>
        </w:tabs>
        <w:ind w:left="0" w:firstLine="540"/>
      </w:pPr>
      <w:r>
        <w:lastRenderedPageBreak/>
        <w:t>Moreover, there is no legal requirement that Petitioners exhaust a rehearing remedy before seeking judicial review of a final PSC order. The availability of a rehearing petition is permissive, not mandatory.</w:t>
      </w:r>
    </w:p>
    <w:p w14:paraId="0E1FB853" w14:textId="076666B2" w:rsidR="00703E56" w:rsidRDefault="00703E56" w:rsidP="00703E56">
      <w:pPr>
        <w:numPr>
          <w:ilvl w:val="0"/>
          <w:numId w:val="15"/>
        </w:numPr>
        <w:tabs>
          <w:tab w:val="left" w:pos="1080"/>
        </w:tabs>
        <w:ind w:left="0" w:firstLine="540"/>
      </w:pPr>
      <w:r>
        <w:t>Accordingly, this Petition is timely and properly before this Court.</w:t>
      </w:r>
    </w:p>
    <w:p w14:paraId="0A482F25" w14:textId="6B960C86" w:rsidR="00957983" w:rsidRDefault="00957983" w:rsidP="002F0224">
      <w:pPr>
        <w:pStyle w:val="Heading1"/>
      </w:pPr>
      <w:bookmarkStart w:id="39" w:name="_Toc207020486"/>
      <w:bookmarkStart w:id="40" w:name="_Toc207020548"/>
      <w:bookmarkStart w:id="41" w:name="_Toc207109658"/>
      <w:r>
        <w:t>ARGUMENT</w:t>
      </w:r>
      <w:bookmarkEnd w:id="39"/>
      <w:bookmarkEnd w:id="40"/>
      <w:bookmarkEnd w:id="41"/>
    </w:p>
    <w:p w14:paraId="257FE3D7" w14:textId="4FF3B7C0" w:rsidR="00E7225A" w:rsidRPr="006776FA" w:rsidRDefault="00E7225A" w:rsidP="00AE5FE7">
      <w:pPr>
        <w:pStyle w:val="Heading2"/>
        <w:numPr>
          <w:ilvl w:val="0"/>
          <w:numId w:val="28"/>
        </w:numPr>
        <w:ind w:left="540" w:hanging="540"/>
      </w:pPr>
      <w:bookmarkStart w:id="42" w:name="_Toc207020384"/>
      <w:bookmarkStart w:id="43" w:name="_Toc207020487"/>
      <w:bookmarkStart w:id="44" w:name="_Toc207020549"/>
      <w:bookmarkStart w:id="45" w:name="_Toc207109659"/>
      <w:r w:rsidRPr="006776FA">
        <w:t>The PSC’s 2025 Order Is</w:t>
      </w:r>
      <w:r w:rsidR="0021598C">
        <w:t xml:space="preserve"> without Jurisdiction, </w:t>
      </w:r>
      <w:r w:rsidR="0021598C" w:rsidRPr="0021598C">
        <w:rPr>
          <w:i/>
          <w:iCs/>
        </w:rPr>
        <w:t>Ultra Vires</w:t>
      </w:r>
      <w:r w:rsidR="0021598C">
        <w:t>, and</w:t>
      </w:r>
      <w:r w:rsidRPr="006776FA">
        <w:t xml:space="preserve"> </w:t>
      </w:r>
      <w:r w:rsidRPr="00BA3C23">
        <w:rPr>
          <w:i/>
          <w:iCs/>
        </w:rPr>
        <w:t xml:space="preserve">Void </w:t>
      </w:r>
      <w:r w:rsidR="006776FA" w:rsidRPr="00BA3C23">
        <w:rPr>
          <w:i/>
          <w:iCs/>
        </w:rPr>
        <w:t>Ab Initio</w:t>
      </w:r>
      <w:r w:rsidR="00823097">
        <w:t>.</w:t>
      </w:r>
      <w:bookmarkEnd w:id="42"/>
      <w:bookmarkEnd w:id="43"/>
      <w:bookmarkEnd w:id="44"/>
      <w:bookmarkEnd w:id="45"/>
    </w:p>
    <w:p w14:paraId="2DE047F3" w14:textId="04C21A84" w:rsidR="006E605E" w:rsidRDefault="006E605E" w:rsidP="006E605E">
      <w:pPr>
        <w:numPr>
          <w:ilvl w:val="0"/>
          <w:numId w:val="15"/>
        </w:numPr>
        <w:tabs>
          <w:tab w:val="left" w:pos="1080"/>
        </w:tabs>
        <w:ind w:left="0" w:firstLine="540"/>
      </w:pPr>
      <w:r>
        <w:t xml:space="preserve">The Public Service Commission’s 2011 Order authorizing submetering at the Affected Buildings expired by its own terms and by operation of 16 NYCRR § 96.3(e). </w:t>
      </w:r>
      <w:r w:rsidR="003B76DD">
        <w:t xml:space="preserve"> </w:t>
      </w:r>
      <w:r>
        <w:t>That regulation provides:</w:t>
      </w:r>
    </w:p>
    <w:p w14:paraId="5AE8ADBB" w14:textId="4AECCEDC" w:rsidR="006E605E" w:rsidRDefault="006E605E" w:rsidP="00895EC8">
      <w:pPr>
        <w:tabs>
          <w:tab w:val="clear" w:pos="720"/>
          <w:tab w:val="left" w:pos="1080"/>
        </w:tabs>
        <w:spacing w:line="240" w:lineRule="auto"/>
        <w:ind w:left="1080" w:right="720"/>
      </w:pPr>
      <w:r>
        <w:t xml:space="preserve">Submeters shall be installed and submetered billing shall commence within </w:t>
      </w:r>
      <w:r w:rsidRPr="00895EC8">
        <w:rPr>
          <w:b/>
          <w:bCs/>
        </w:rPr>
        <w:t>five years</w:t>
      </w:r>
      <w:r>
        <w:t xml:space="preserve"> of the Commission order authorizing submetering.</w:t>
      </w:r>
      <w:r w:rsidR="00895EC8">
        <w:t xml:space="preserve"> </w:t>
      </w:r>
      <w:r>
        <w:t xml:space="preserve"> If submetering has not commenced within five years of such Commission order, a new Notice of Intent to Submeter or Petition to Submeter shall be filed with the Commission.</w:t>
      </w:r>
      <w:r w:rsidR="00176741">
        <w:t xml:space="preserve"> § 96.3(e).</w:t>
      </w:r>
    </w:p>
    <w:p w14:paraId="7E6B9179" w14:textId="77777777" w:rsidR="003B76DD" w:rsidRDefault="003B76DD" w:rsidP="003B76DD">
      <w:pPr>
        <w:tabs>
          <w:tab w:val="left" w:pos="1080"/>
        </w:tabs>
        <w:spacing w:line="240" w:lineRule="auto"/>
        <w:ind w:left="540" w:right="720"/>
      </w:pPr>
    </w:p>
    <w:p w14:paraId="7E09B344" w14:textId="77777777" w:rsidR="00080D48" w:rsidRDefault="00080D48" w:rsidP="00080D48">
      <w:pPr>
        <w:numPr>
          <w:ilvl w:val="0"/>
          <w:numId w:val="15"/>
        </w:numPr>
        <w:tabs>
          <w:tab w:val="left" w:pos="1080"/>
        </w:tabs>
        <w:ind w:left="0" w:firstLine="540"/>
      </w:pPr>
      <w:r>
        <w:t>The 2011 approval expired in 2016 with no action taken by the prior owner. Submetering was never commenced — no submeters were read, no tenants billed, and no additional rent collected. Simply put, the prior landlord allowed the 2011 Order to lapse by inaction. See § 96.3(e).</w:t>
      </w:r>
    </w:p>
    <w:p w14:paraId="74962CD0" w14:textId="77777777" w:rsidR="00080D48" w:rsidRDefault="00080D48" w:rsidP="00080D48">
      <w:pPr>
        <w:numPr>
          <w:ilvl w:val="0"/>
          <w:numId w:val="15"/>
        </w:numPr>
        <w:tabs>
          <w:tab w:val="left" w:pos="1080"/>
        </w:tabs>
        <w:ind w:left="0" w:firstLine="540"/>
      </w:pPr>
      <w:r>
        <w:t xml:space="preserve">Once that expiration occurred, there was nothing left for the PSC to “clarify,” and nothing to “recommence” in 2025. The agency’s only lawful option was to deny the Landlord’s petition </w:t>
      </w:r>
      <w:r>
        <w:lastRenderedPageBreak/>
        <w:t>and require him to file a new application under Part 96, subject to all current procedures and tenant protections.</w:t>
      </w:r>
    </w:p>
    <w:p w14:paraId="44A52CB0" w14:textId="60B952F2" w:rsidR="00080D48" w:rsidRDefault="00080D48" w:rsidP="00080D48">
      <w:pPr>
        <w:numPr>
          <w:ilvl w:val="0"/>
          <w:numId w:val="15"/>
        </w:numPr>
        <w:tabs>
          <w:tab w:val="left" w:pos="1080"/>
        </w:tabs>
        <w:ind w:left="0" w:firstLine="540"/>
      </w:pPr>
      <w:r>
        <w:t xml:space="preserve">The PSC’s 2025 Order is conspicuously silent about § 96.3(e). </w:t>
      </w:r>
      <w:r w:rsidR="008244A6">
        <w:t xml:space="preserve"> </w:t>
      </w:r>
      <w:r>
        <w:t>It never addresses the five-year expiration rule, never explains how an expired authorization could be revived nearly a decade later, and never identifies any legal basis for sidestepping a regulation the agency itself adopted in 2012.</w:t>
      </w:r>
    </w:p>
    <w:p w14:paraId="4BE2371A" w14:textId="26533231" w:rsidR="00080D48" w:rsidRDefault="00080D48" w:rsidP="00080D48">
      <w:pPr>
        <w:numPr>
          <w:ilvl w:val="0"/>
          <w:numId w:val="15"/>
        </w:numPr>
        <w:tabs>
          <w:tab w:val="left" w:pos="1080"/>
        </w:tabs>
        <w:ind w:left="0" w:firstLine="540"/>
      </w:pPr>
      <w:r>
        <w:t xml:space="preserve">That silence is fatal. </w:t>
      </w:r>
      <w:r w:rsidR="008244A6">
        <w:t xml:space="preserve"> </w:t>
      </w:r>
      <w:r>
        <w:t xml:space="preserve">An agency is bound to follow its own regulations, and when it fails to do so its determinations are invalid. </w:t>
      </w:r>
      <w:r w:rsidRPr="00063304">
        <w:rPr>
          <w:i/>
          <w:iCs/>
        </w:rPr>
        <w:t>See Big Tree Energy Partners v. Bradford</w:t>
      </w:r>
      <w:r>
        <w:t xml:space="preserve">, 219 A.D.2d 27, 30 (3d Dep’t 1996) (agency “must adhere to its own rules”). </w:t>
      </w:r>
      <w:r w:rsidR="008244A6">
        <w:t xml:space="preserve"> </w:t>
      </w:r>
      <w:r>
        <w:t>By ignoring § 96.3(e), the PSC deprived itself of jurisdiction.</w:t>
      </w:r>
    </w:p>
    <w:p w14:paraId="695B0B57" w14:textId="4004A0AC" w:rsidR="0078350A" w:rsidRDefault="00080D48" w:rsidP="00080D48">
      <w:pPr>
        <w:numPr>
          <w:ilvl w:val="0"/>
          <w:numId w:val="15"/>
        </w:numPr>
        <w:tabs>
          <w:tab w:val="left" w:pos="1080"/>
        </w:tabs>
        <w:ind w:left="0" w:firstLine="540"/>
      </w:pPr>
      <w:r>
        <w:t xml:space="preserve">By purporting to “clarify” and “recommence” a long-expired approval that never commenced in the first place, the PSC exceeded its statutory and regulatory authority. </w:t>
      </w:r>
    </w:p>
    <w:p w14:paraId="1D0C8FCA" w14:textId="77777777" w:rsidR="007219DF" w:rsidRDefault="00E77BED" w:rsidP="006E605E">
      <w:pPr>
        <w:numPr>
          <w:ilvl w:val="0"/>
          <w:numId w:val="15"/>
        </w:numPr>
        <w:tabs>
          <w:tab w:val="left" w:pos="1080"/>
        </w:tabs>
        <w:ind w:left="0" w:firstLine="540"/>
      </w:pPr>
      <w:r w:rsidRPr="00E77BED">
        <w:t xml:space="preserve">Much like a grocery clerk trying to appease the wealthy store owner by re-stamping spoiled milk, the PSC tried to re-package an abandoned approval as if it were still fresh. </w:t>
      </w:r>
      <w:r w:rsidR="00C331D9">
        <w:t xml:space="preserve"> </w:t>
      </w:r>
      <w:r w:rsidRPr="00E77BED">
        <w:t xml:space="preserve">But the rule’s five-year limit exists precisely because circumstances change — new tenants move in, housing laws evolve, financial-harm standards tighten. </w:t>
      </w:r>
      <w:r w:rsidR="00C331D9">
        <w:t xml:space="preserve"> </w:t>
      </w:r>
      <w:r w:rsidRPr="00E77BED">
        <w:t xml:space="preserve">The PSC itself adopted this </w:t>
      </w:r>
      <w:r w:rsidR="00C331D9">
        <w:t xml:space="preserve">time </w:t>
      </w:r>
      <w:r w:rsidRPr="00E77BED">
        <w:t xml:space="preserve">limit as a kind of regulatory health code, to prevent stale approvals from being passed off as safe. </w:t>
      </w:r>
      <w:r w:rsidR="00C331D9">
        <w:t xml:space="preserve"> </w:t>
      </w:r>
      <w:r w:rsidRPr="00E77BED">
        <w:t xml:space="preserve">An approval that goes unused is not a leftover tuna casserole waiting in the freezer to be reheated; it </w:t>
      </w:r>
      <w:r w:rsidRPr="00E77BED">
        <w:lastRenderedPageBreak/>
        <w:t xml:space="preserve">goes stale. </w:t>
      </w:r>
      <w:r w:rsidR="00C331D9">
        <w:t xml:space="preserve"> </w:t>
      </w:r>
      <w:r w:rsidRPr="00E77BED">
        <w:t>No amount of regulatory “jiggery-pokery” can retrofit a decade-old permission onto a wholly different tenant population under a different regulatory framework.</w:t>
      </w:r>
    </w:p>
    <w:p w14:paraId="06089326" w14:textId="3A9263D4" w:rsidR="00957983" w:rsidRDefault="001525FB" w:rsidP="006E605E">
      <w:pPr>
        <w:numPr>
          <w:ilvl w:val="0"/>
          <w:numId w:val="15"/>
        </w:numPr>
        <w:tabs>
          <w:tab w:val="left" w:pos="1080"/>
        </w:tabs>
        <w:ind w:left="0" w:firstLine="540"/>
      </w:pPr>
      <w:r>
        <w:t>For the foregoing reasons, t</w:t>
      </w:r>
      <w:r w:rsidR="006E605E">
        <w:t>he 2025 Order must be vacated</w:t>
      </w:r>
      <w:r w:rsidR="00C76BF2">
        <w:t xml:space="preserve"> as lacking jurisdiction</w:t>
      </w:r>
      <w:r w:rsidR="0021598C">
        <w:t>.</w:t>
      </w:r>
    </w:p>
    <w:p w14:paraId="1B0219B2" w14:textId="763C6701" w:rsidR="006508DC" w:rsidRDefault="00B05386" w:rsidP="007236D3">
      <w:pPr>
        <w:pStyle w:val="Heading2"/>
      </w:pPr>
      <w:bookmarkStart w:id="46" w:name="_Toc207020488"/>
      <w:bookmarkStart w:id="47" w:name="_Toc207020550"/>
      <w:bookmarkStart w:id="48" w:name="_Toc207109660"/>
      <w:r w:rsidRPr="006508DC">
        <w:t>The Landlord’s 2024 Petition Was Time-Barred</w:t>
      </w:r>
      <w:r w:rsidR="00823097">
        <w:t>.</w:t>
      </w:r>
      <w:bookmarkEnd w:id="46"/>
      <w:bookmarkEnd w:id="47"/>
      <w:bookmarkEnd w:id="48"/>
      <w:r w:rsidR="006508DC" w:rsidRPr="006508DC">
        <w:t xml:space="preserve"> </w:t>
      </w:r>
    </w:p>
    <w:p w14:paraId="0DF66D5C" w14:textId="77777777" w:rsidR="003C3D20" w:rsidRDefault="003C3D20" w:rsidP="003C3D20">
      <w:pPr>
        <w:numPr>
          <w:ilvl w:val="0"/>
          <w:numId w:val="15"/>
        </w:numPr>
        <w:tabs>
          <w:tab w:val="clear" w:pos="720"/>
          <w:tab w:val="left" w:pos="1080"/>
        </w:tabs>
        <w:ind w:left="0" w:firstLine="540"/>
      </w:pPr>
      <w:r>
        <w:t>The five-year deadline in 16 NYCRR § 96.3(e) functions as a statute of limitations. It embodies the PSC’s deliberate choice to provide finality and repose, ensuring that approvals not acted upon expire by design.</w:t>
      </w:r>
    </w:p>
    <w:p w14:paraId="04E6D95B" w14:textId="77777777" w:rsidR="003C3D20" w:rsidRDefault="003C3D20" w:rsidP="003C3D20">
      <w:pPr>
        <w:numPr>
          <w:ilvl w:val="0"/>
          <w:numId w:val="15"/>
        </w:numPr>
        <w:tabs>
          <w:tab w:val="clear" w:pos="720"/>
          <w:tab w:val="left" w:pos="1080"/>
        </w:tabs>
        <w:ind w:left="0" w:firstLine="540"/>
      </w:pPr>
      <w:r>
        <w:t>This expiration rule gives tenants certainty. They could rely on the lapse of the 2011 approval to plan their lives and financial affairs. Reviving a dead authorization thirteen years later is the regulatory equivalent of an ambush — undermining predictability, subverting the rule of law, and stripping tenants of the protections of the current Part 96.</w:t>
      </w:r>
    </w:p>
    <w:p w14:paraId="050DD9DD" w14:textId="77777777" w:rsidR="003C3D20" w:rsidRDefault="003C3D20" w:rsidP="003C3D20">
      <w:pPr>
        <w:numPr>
          <w:ilvl w:val="0"/>
          <w:numId w:val="15"/>
        </w:numPr>
        <w:tabs>
          <w:tab w:val="clear" w:pos="720"/>
          <w:tab w:val="left" w:pos="1080"/>
        </w:tabs>
        <w:ind w:left="0" w:firstLine="540"/>
      </w:pPr>
      <w:r>
        <w:t>Section 96.3(e) also mirrors the equitable doctrine of laches, shielding tenants from prejudice caused by a landlord who slept on his rights.</w:t>
      </w:r>
    </w:p>
    <w:p w14:paraId="2143EFD5" w14:textId="77777777" w:rsidR="003C3D20" w:rsidRDefault="003C3D20" w:rsidP="003C3D20">
      <w:pPr>
        <w:numPr>
          <w:ilvl w:val="0"/>
          <w:numId w:val="15"/>
        </w:numPr>
        <w:tabs>
          <w:tab w:val="clear" w:pos="720"/>
          <w:tab w:val="left" w:pos="1080"/>
        </w:tabs>
        <w:ind w:left="0" w:firstLine="540"/>
      </w:pPr>
      <w:r>
        <w:t>The prior landlord received approval in 2011, contingent on seven protective conditions. He did nothing. Thirteen years passed. Tenants reasonably assumed submetering was dead. They made leases, renewals, and financial decisions in reliance on that assumption.</w:t>
      </w:r>
    </w:p>
    <w:p w14:paraId="3A9C6A14" w14:textId="77777777" w:rsidR="003C3D20" w:rsidRDefault="003C3D20" w:rsidP="003C3D20">
      <w:pPr>
        <w:numPr>
          <w:ilvl w:val="0"/>
          <w:numId w:val="15"/>
        </w:numPr>
        <w:tabs>
          <w:tab w:val="clear" w:pos="720"/>
          <w:tab w:val="left" w:pos="1080"/>
        </w:tabs>
        <w:ind w:left="0" w:firstLine="540"/>
      </w:pPr>
      <w:r>
        <w:lastRenderedPageBreak/>
        <w:t>Yet in 2025, the PSC resurrected the expired approval — in violation of its own rules, without any rate cap analysis, and without applying the updated financial harm test. Worse, the PSC eliminated every tenant-protective condition it had imposed in 2011. To call this only “substantial prejudice” is like calling a Category 5 hurricane “a bit of wind.”</w:t>
      </w:r>
    </w:p>
    <w:p w14:paraId="349C9CDA" w14:textId="77777777" w:rsidR="003C3D20" w:rsidRDefault="003C3D20" w:rsidP="003C3D20">
      <w:pPr>
        <w:numPr>
          <w:ilvl w:val="0"/>
          <w:numId w:val="15"/>
        </w:numPr>
        <w:tabs>
          <w:tab w:val="clear" w:pos="720"/>
          <w:tab w:val="left" w:pos="1080"/>
        </w:tabs>
        <w:ind w:left="0" w:firstLine="540"/>
      </w:pPr>
      <w:r>
        <w:t>Tenants had no notice of these modifications, which were brokered in undisclosed backroom negotiations in Albany between the PSC and the Landlord from 2023 to 2025.</w:t>
      </w:r>
    </w:p>
    <w:p w14:paraId="46DD1B90" w14:textId="77777777" w:rsidR="003C3D20" w:rsidRDefault="003C3D20" w:rsidP="003C3D20">
      <w:pPr>
        <w:numPr>
          <w:ilvl w:val="0"/>
          <w:numId w:val="15"/>
        </w:numPr>
        <w:tabs>
          <w:tab w:val="clear" w:pos="720"/>
          <w:tab w:val="left" w:pos="1080"/>
        </w:tabs>
        <w:ind w:left="0" w:firstLine="540"/>
      </w:pPr>
      <w:r>
        <w:t>The PSC approved submetering in 2025 using a financial harm test last performed in 2009, which showed just over 50% of tenants would not be harmed by 2009 rates. But sixteen years had passed. During that time the PSC raised the threshold to 60%, inflation soared, fixed incomes shrank, climate extremes worsened, and tenants aged — children became adults, the middle-aged became seniors, and seniors became frail.</w:t>
      </w:r>
    </w:p>
    <w:p w14:paraId="615F8386" w14:textId="3AF015B0" w:rsidR="003C3D20" w:rsidRDefault="003C3D20" w:rsidP="003C3D20">
      <w:pPr>
        <w:numPr>
          <w:ilvl w:val="0"/>
          <w:numId w:val="15"/>
        </w:numPr>
        <w:tabs>
          <w:tab w:val="clear" w:pos="720"/>
          <w:tab w:val="left" w:pos="1080"/>
        </w:tabs>
        <w:ind w:left="0" w:firstLine="540"/>
      </w:pPr>
      <w:r>
        <w:t xml:space="preserve">The PSC’s action here is the very definition of irrationality — based on stale evidence, bias, and fallacy. </w:t>
      </w:r>
      <w:r w:rsidR="00A65947">
        <w:t xml:space="preserve"> </w:t>
      </w:r>
      <w:r>
        <w:t>To borrow from Winston Churchill, it is a sophistry, wrapped in a deception, inside a fallacy.</w:t>
      </w:r>
    </w:p>
    <w:p w14:paraId="07BCF8CB" w14:textId="7AF62091" w:rsidR="003C3D20" w:rsidRDefault="003C3D20" w:rsidP="003C3D20">
      <w:pPr>
        <w:numPr>
          <w:ilvl w:val="0"/>
          <w:numId w:val="15"/>
        </w:numPr>
        <w:tabs>
          <w:tab w:val="clear" w:pos="720"/>
          <w:tab w:val="left" w:pos="1080"/>
        </w:tabs>
        <w:ind w:left="0" w:firstLine="540"/>
      </w:pPr>
      <w:r>
        <w:t xml:space="preserve">No rational regulator would impose a major new financial burden on 2,769 households using 16-year-old data under a defunct test. </w:t>
      </w:r>
      <w:r w:rsidR="00A65947">
        <w:t xml:space="preserve"> </w:t>
      </w:r>
      <w:r>
        <w:t xml:space="preserve">The result is regulatory sleight of hand: </w:t>
      </w:r>
      <w:r w:rsidR="00A65947">
        <w:t xml:space="preserve"> </w:t>
      </w:r>
      <w:r>
        <w:t xml:space="preserve">a decision where the rules don’t apply, heating costs are waved away, protective </w:t>
      </w:r>
      <w:r>
        <w:lastRenderedPageBreak/>
        <w:t>conditions vanish, and even what never began can somehow be “recommenced.”</w:t>
      </w:r>
    </w:p>
    <w:p w14:paraId="0297F8FE" w14:textId="77777777" w:rsidR="003C3D20" w:rsidRDefault="003C3D20" w:rsidP="003C3D20">
      <w:pPr>
        <w:numPr>
          <w:ilvl w:val="0"/>
          <w:numId w:val="15"/>
        </w:numPr>
        <w:tabs>
          <w:tab w:val="clear" w:pos="720"/>
          <w:tab w:val="left" w:pos="1080"/>
        </w:tabs>
        <w:ind w:left="0" w:firstLine="540"/>
      </w:pPr>
      <w:r>
        <w:t>The 2025 Order was not reasoned decision-making; it was a preordained outcome dressed up as regulation.</w:t>
      </w:r>
    </w:p>
    <w:p w14:paraId="693DCCF8" w14:textId="77777777" w:rsidR="003C3D20" w:rsidRDefault="003C3D20" w:rsidP="003C3D20">
      <w:pPr>
        <w:numPr>
          <w:ilvl w:val="0"/>
          <w:numId w:val="15"/>
        </w:numPr>
        <w:tabs>
          <w:tab w:val="clear" w:pos="720"/>
          <w:tab w:val="left" w:pos="1080"/>
        </w:tabs>
        <w:ind w:left="0" w:firstLine="540"/>
      </w:pPr>
      <w:r>
        <w:t>By treating the Landlord’s modification petition as a mere “clarification,” the PSC disregarded its own rules and eroded public confidence in the rule of law.</w:t>
      </w:r>
    </w:p>
    <w:p w14:paraId="055AE2A4" w14:textId="4F4C5316" w:rsidR="003C3D20" w:rsidRDefault="003C3D20" w:rsidP="003C3D20">
      <w:pPr>
        <w:numPr>
          <w:ilvl w:val="0"/>
          <w:numId w:val="15"/>
        </w:numPr>
        <w:tabs>
          <w:tab w:val="clear" w:pos="720"/>
          <w:tab w:val="left" w:pos="1080"/>
        </w:tabs>
        <w:ind w:left="0" w:firstLine="540"/>
      </w:pPr>
      <w:r>
        <w:t>The five-year deadline is mandatory.</w:t>
      </w:r>
      <w:r w:rsidR="00A65947">
        <w:t xml:space="preserve"> </w:t>
      </w:r>
      <w:r>
        <w:t xml:space="preserve"> It required a new petition under § 96.3(b), with current data, updated financial harm analysis, and full tenant notice. The Landlord’s 2024 petition met none of these requirements.</w:t>
      </w:r>
    </w:p>
    <w:p w14:paraId="3E5E85B1" w14:textId="4CF51B2D" w:rsidR="003C3D20" w:rsidRDefault="003C3D20" w:rsidP="003C3D20">
      <w:pPr>
        <w:numPr>
          <w:ilvl w:val="0"/>
          <w:numId w:val="15"/>
        </w:numPr>
        <w:tabs>
          <w:tab w:val="clear" w:pos="720"/>
          <w:tab w:val="left" w:pos="1080"/>
        </w:tabs>
        <w:ind w:left="0" w:firstLine="540"/>
      </w:pPr>
      <w:r>
        <w:t>The 2025 Order lacks a rational basis, is arbitrary and capricious, and must be vacated.</w:t>
      </w:r>
    </w:p>
    <w:p w14:paraId="5A093DD6" w14:textId="5370877E" w:rsidR="002C4C44" w:rsidRPr="000D6075" w:rsidRDefault="002C4C44" w:rsidP="000D6075">
      <w:pPr>
        <w:pStyle w:val="Heading2"/>
        <w:rPr>
          <w:b w:val="0"/>
          <w:bCs w:val="0"/>
        </w:rPr>
      </w:pPr>
      <w:bookmarkStart w:id="49" w:name="_Toc207020489"/>
      <w:bookmarkStart w:id="50" w:name="_Toc207020551"/>
      <w:bookmarkStart w:id="51" w:name="_Toc207109661"/>
      <w:r w:rsidRPr="002C4C44">
        <w:rPr>
          <w:rStyle w:val="Heading2Char"/>
          <w:b/>
          <w:bCs/>
        </w:rPr>
        <w:t>The PSC’s 2025 Order Violate</w:t>
      </w:r>
      <w:r w:rsidR="00251F2F">
        <w:rPr>
          <w:rStyle w:val="Heading2Char"/>
          <w:b/>
          <w:bCs/>
        </w:rPr>
        <w:t>d</w:t>
      </w:r>
      <w:r w:rsidRPr="002C4C44">
        <w:rPr>
          <w:rStyle w:val="Heading2Char"/>
          <w:b/>
          <w:bCs/>
        </w:rPr>
        <w:t xml:space="preserve"> </w:t>
      </w:r>
      <w:r w:rsidR="00251F2F" w:rsidRPr="002C4C44">
        <w:rPr>
          <w:rStyle w:val="Heading2Char"/>
          <w:b/>
          <w:bCs/>
        </w:rPr>
        <w:t>Part 96</w:t>
      </w:r>
      <w:r w:rsidR="00251F2F">
        <w:rPr>
          <w:rStyle w:val="Heading2Char"/>
          <w:b/>
          <w:bCs/>
        </w:rPr>
        <w:t xml:space="preserve">’s </w:t>
      </w:r>
      <w:r w:rsidRPr="002C4C44">
        <w:rPr>
          <w:rStyle w:val="Heading2Char"/>
          <w:b/>
          <w:bCs/>
        </w:rPr>
        <w:t>Substantive Pro</w:t>
      </w:r>
      <w:r w:rsidR="00251F2F">
        <w:rPr>
          <w:rStyle w:val="Heading2Char"/>
          <w:b/>
          <w:bCs/>
        </w:rPr>
        <w:t>tections</w:t>
      </w:r>
      <w:bookmarkEnd w:id="49"/>
      <w:bookmarkEnd w:id="50"/>
      <w:bookmarkEnd w:id="51"/>
    </w:p>
    <w:p w14:paraId="4F135FC0" w14:textId="77777777" w:rsidR="00806587" w:rsidRDefault="00806587" w:rsidP="00806587">
      <w:pPr>
        <w:numPr>
          <w:ilvl w:val="0"/>
          <w:numId w:val="15"/>
        </w:numPr>
        <w:tabs>
          <w:tab w:val="clear" w:pos="720"/>
          <w:tab w:val="left" w:pos="1080"/>
        </w:tabs>
        <w:ind w:left="0" w:firstLine="540"/>
      </w:pPr>
      <w:r>
        <w:t>The Landlord’s 2024 filing was not a “clarification.” It sought to eliminate mandatory conditions, alter submetering obligations, and revive an approval that had expired by operation of § 96.3(e). Substance, not labels, controls. Because this was a material modification, the PSC was required to treat it as a new petition under § 3.7(b), with full compliance with §§ 96.3 and 96.5. Its failure to do so rendered the 2025 Order defective.</w:t>
      </w:r>
    </w:p>
    <w:p w14:paraId="3DDD465C" w14:textId="77777777" w:rsidR="00806587" w:rsidRDefault="00806587" w:rsidP="00806587">
      <w:pPr>
        <w:numPr>
          <w:ilvl w:val="0"/>
          <w:numId w:val="15"/>
        </w:numPr>
        <w:tabs>
          <w:tab w:val="clear" w:pos="720"/>
          <w:tab w:val="left" w:pos="1080"/>
        </w:tabs>
        <w:ind w:left="0" w:firstLine="540"/>
      </w:pPr>
      <w:r>
        <w:t xml:space="preserve">The 2011 Order had expressly conditioned submetering on compliance with tenant protections codified in § 96.5 — including </w:t>
      </w:r>
      <w:r>
        <w:lastRenderedPageBreak/>
        <w:t>HEAP vendor registration, installation of thermostats, refrigerator replacements, completion of NYSERDA efficiency upgrades, rent offsets, education and counseling programs, HEFPA disclosures, and multiple notice requirements. These were not window dressing; they were prerequisites.</w:t>
      </w:r>
    </w:p>
    <w:p w14:paraId="08660EFF" w14:textId="2C33E439" w:rsidR="00806587" w:rsidRDefault="00806587" w:rsidP="00806587">
      <w:pPr>
        <w:numPr>
          <w:ilvl w:val="0"/>
          <w:numId w:val="15"/>
        </w:numPr>
        <w:tabs>
          <w:tab w:val="clear" w:pos="720"/>
          <w:tab w:val="left" w:pos="1080"/>
        </w:tabs>
        <w:ind w:left="0" w:firstLine="540"/>
      </w:pPr>
      <w:r>
        <w:t xml:space="preserve">By 2024, nearly all of these conditions had been abandoned or diluted. Thermostat and appliance upgrades were incomplete, HEAP enrollment was dropped on the specious claim that unit heating was no longer electric, education was deferred, rent offsets never implemented, and HEFPA compliance undocumented. </w:t>
      </w:r>
      <w:r w:rsidR="00802CE7">
        <w:t xml:space="preserve"> </w:t>
      </w:r>
      <w:r>
        <w:t xml:space="preserve">Yet the PSC approved submetering anyway, effectively converting mandatory rules into optional guidelines. </w:t>
      </w:r>
      <w:r w:rsidR="00802CE7">
        <w:t xml:space="preserve"> </w:t>
      </w:r>
      <w:r>
        <w:t>That is not clarification; it is modification without lawful procedure.</w:t>
      </w:r>
    </w:p>
    <w:p w14:paraId="44B1C495" w14:textId="5DC729B5" w:rsidR="00806587" w:rsidRDefault="00806587" w:rsidP="00806587">
      <w:pPr>
        <w:numPr>
          <w:ilvl w:val="0"/>
          <w:numId w:val="15"/>
        </w:numPr>
        <w:tabs>
          <w:tab w:val="clear" w:pos="720"/>
          <w:tab w:val="left" w:pos="1080"/>
        </w:tabs>
        <w:ind w:left="0" w:firstLine="540"/>
      </w:pPr>
      <w:r>
        <w:t xml:space="preserve">The 2025 Order also disregarded the core affordability protections of Part 96. </w:t>
      </w:r>
      <w:r w:rsidR="00802CE7">
        <w:t xml:space="preserve"> </w:t>
      </w:r>
      <w:r>
        <w:t>A valid petition must include: (1) a rate-cap analysis under § 96.1(i); (2) a financial harm review for vulnerable tenants under §§ 96.5(b), (k), (l); and (3) proof of tenant notice under § 96.6(c). None were provided.</w:t>
      </w:r>
    </w:p>
    <w:p w14:paraId="5CD2D9D5" w14:textId="77777777" w:rsidR="009A1DBB" w:rsidRDefault="00806587" w:rsidP="00806587">
      <w:pPr>
        <w:numPr>
          <w:ilvl w:val="0"/>
          <w:numId w:val="15"/>
        </w:numPr>
        <w:tabs>
          <w:tab w:val="clear" w:pos="720"/>
          <w:tab w:val="left" w:pos="1080"/>
        </w:tabs>
        <w:ind w:left="0" w:firstLine="540"/>
      </w:pPr>
      <w:r>
        <w:t xml:space="preserve">By sidestepping these requirements, the </w:t>
      </w:r>
      <w:r w:rsidR="00802CE7">
        <w:t>PSC</w:t>
      </w:r>
      <w:r>
        <w:t xml:space="preserve"> authorized submetering without the evidence-based safeguards </w:t>
      </w:r>
      <w:r w:rsidR="009A1DBB">
        <w:t xml:space="preserve">that </w:t>
      </w:r>
      <w:r>
        <w:t xml:space="preserve">Part 96 demands. An agency may not disregard its own regulations. </w:t>
      </w:r>
      <w:r w:rsidR="009A1DBB">
        <w:t xml:space="preserve"> </w:t>
      </w:r>
      <w:r w:rsidRPr="009A1DBB">
        <w:rPr>
          <w:i/>
          <w:iCs/>
        </w:rPr>
        <w:t>See Big Tree Energy Partners v. Bradford</w:t>
      </w:r>
      <w:r>
        <w:t xml:space="preserve">, 219 A.D.2d 27, 30 (3d Dept 1996). </w:t>
      </w:r>
    </w:p>
    <w:p w14:paraId="02D95B04" w14:textId="7AB715F9" w:rsidR="00806587" w:rsidRDefault="00806587" w:rsidP="00806587">
      <w:pPr>
        <w:numPr>
          <w:ilvl w:val="0"/>
          <w:numId w:val="15"/>
        </w:numPr>
        <w:tabs>
          <w:tab w:val="clear" w:pos="720"/>
          <w:tab w:val="left" w:pos="1080"/>
        </w:tabs>
        <w:ind w:left="0" w:firstLine="540"/>
      </w:pPr>
      <w:r>
        <w:lastRenderedPageBreak/>
        <w:t>The PSC’s decision to treat the 2024 filing as a clarification while stripping away tenant protections was arbitrary, capricious, and contrary to law.</w:t>
      </w:r>
    </w:p>
    <w:p w14:paraId="5E3B108D" w14:textId="37C950FC" w:rsidR="007816B9" w:rsidRDefault="00421580" w:rsidP="007816B9">
      <w:pPr>
        <w:pStyle w:val="Heading2"/>
      </w:pPr>
      <w:bookmarkStart w:id="52" w:name="_Toc207020492"/>
      <w:bookmarkStart w:id="53" w:name="_Toc207020554"/>
      <w:bookmarkStart w:id="54" w:name="_Toc207109662"/>
      <w:r w:rsidRPr="00421580">
        <w:t>Disaggregation Is a False Premise that Shifts Heating Costs to Tenants</w:t>
      </w:r>
      <w:bookmarkEnd w:id="52"/>
      <w:bookmarkEnd w:id="53"/>
      <w:bookmarkEnd w:id="54"/>
    </w:p>
    <w:p w14:paraId="5DCC4A3C" w14:textId="00F62EBA" w:rsidR="007A5FA5" w:rsidRDefault="007A5FA5" w:rsidP="007A5FA5">
      <w:pPr>
        <w:numPr>
          <w:ilvl w:val="0"/>
          <w:numId w:val="15"/>
        </w:numPr>
        <w:tabs>
          <w:tab w:val="clear" w:pos="720"/>
          <w:tab w:val="left" w:pos="1080"/>
        </w:tabs>
        <w:ind w:left="0" w:firstLine="540"/>
      </w:pPr>
      <w:r w:rsidRPr="007A5FA5">
        <w:t>The most consequential change in the 2025 Order was the disaggregation of baseboard heating from submetered plug load. This was never part of the 2011 approval. It altered what is metered, how bills are calculated, and which protections apply. The PSC approved it by accepting the Landlord’s assertions, even where contradicted by tenant evidence.</w:t>
      </w:r>
    </w:p>
    <w:p w14:paraId="6897BBE3" w14:textId="3DA49592" w:rsidR="007816B9" w:rsidRDefault="007816B9" w:rsidP="00420036">
      <w:pPr>
        <w:pStyle w:val="Heading3"/>
        <w:numPr>
          <w:ilvl w:val="1"/>
          <w:numId w:val="29"/>
        </w:numPr>
      </w:pPr>
      <w:bookmarkStart w:id="55" w:name="_Toc207020493"/>
      <w:bookmarkStart w:id="56" w:name="_Toc207020555"/>
      <w:bookmarkStart w:id="57" w:name="_Toc207109663"/>
      <w:r>
        <w:t>The Record Shows the Baseboard Heating System Is Defective</w:t>
      </w:r>
      <w:r w:rsidR="00D35B5D">
        <w:t>.</w:t>
      </w:r>
      <w:bookmarkEnd w:id="55"/>
      <w:bookmarkEnd w:id="56"/>
      <w:bookmarkEnd w:id="57"/>
    </w:p>
    <w:p w14:paraId="18F5C41D" w14:textId="2DA94001" w:rsidR="005F1E71" w:rsidRDefault="005F1E71" w:rsidP="005F1E71">
      <w:pPr>
        <w:numPr>
          <w:ilvl w:val="0"/>
          <w:numId w:val="15"/>
        </w:numPr>
        <w:tabs>
          <w:tab w:val="clear" w:pos="720"/>
          <w:tab w:val="left" w:pos="1080"/>
        </w:tabs>
        <w:ind w:left="0" w:firstLine="540"/>
      </w:pPr>
      <w:r w:rsidRPr="005F1E71">
        <w:t>Tenant complaints about inadequate heat are widespread, severe, and long-standing, rising to a breach of the implied warranty of habitability. Sworn affirmations describe apartments that remain cold in winter, malfunctioning thermostats, inoperable heaters, poor insulation, and gaps in exterior walls. Tenants survive only by using plug-in space heaters. Under disaggregation, those survival loads are billed directly to tenants, shifting the cost of defective heating and lack of insulation onto them. Yet the PSC simultaneously removed HEAP protections—an irrational choice given that HEAP enrollment imposes minimal burden on landlords but provides critical lifelines to tenants.</w:t>
      </w:r>
    </w:p>
    <w:p w14:paraId="350D951D" w14:textId="7F0D7A95" w:rsidR="007816B9" w:rsidRDefault="00FE3DAE" w:rsidP="00420036">
      <w:pPr>
        <w:pStyle w:val="Heading3"/>
      </w:pPr>
      <w:bookmarkStart w:id="58" w:name="_Toc207020494"/>
      <w:bookmarkStart w:id="59" w:name="_Toc207020556"/>
      <w:bookmarkStart w:id="60" w:name="_Toc207109664"/>
      <w:r>
        <w:t xml:space="preserve">The Landlord’s </w:t>
      </w:r>
      <w:r w:rsidR="007816B9">
        <w:t>Thermostat C</w:t>
      </w:r>
      <w:r w:rsidR="00423F5A">
        <w:t>laims</w:t>
      </w:r>
      <w:r w:rsidR="007816B9">
        <w:t xml:space="preserve"> Are False</w:t>
      </w:r>
      <w:r w:rsidR="000364A1">
        <w:t>.</w:t>
      </w:r>
      <w:bookmarkEnd w:id="58"/>
      <w:bookmarkEnd w:id="59"/>
      <w:bookmarkEnd w:id="60"/>
    </w:p>
    <w:p w14:paraId="0F5A8B2C" w14:textId="6A901B3A" w:rsidR="00335D22" w:rsidRDefault="00335D22" w:rsidP="007816B9">
      <w:pPr>
        <w:numPr>
          <w:ilvl w:val="0"/>
          <w:numId w:val="15"/>
        </w:numPr>
        <w:tabs>
          <w:tab w:val="clear" w:pos="720"/>
          <w:tab w:val="left" w:pos="1080"/>
        </w:tabs>
        <w:ind w:left="0" w:firstLine="540"/>
      </w:pPr>
      <w:r w:rsidRPr="00335D22">
        <w:lastRenderedPageBreak/>
        <w:t>In a sworn affidavit, the Landlord claimed tenants could set thermostats to 74°F. In reality, thermostats reset to 65°F by day and 62°F at night, many cannot be overridden, and all are remotely controlled by management. Tenant evidence—over 600 pages of sworn affirmations—shows widespread reliance on multiple plug-in heaters. The PSC nevertheless adopted the Landlord’s fiction, using it to justify eliminating HEAP enrollment and disregarding contrary evidence.</w:t>
      </w:r>
    </w:p>
    <w:p w14:paraId="49DBDED1" w14:textId="5D867F66" w:rsidR="007816B9" w:rsidRDefault="007816B9" w:rsidP="00420036">
      <w:pPr>
        <w:pStyle w:val="Heading3"/>
      </w:pPr>
      <w:bookmarkStart w:id="61" w:name="_Toc207020495"/>
      <w:bookmarkStart w:id="62" w:name="_Toc207020557"/>
      <w:bookmarkStart w:id="63" w:name="_Toc207109665"/>
      <w:r>
        <w:t>Disaggregation Shifts Heating Costs to Tenants</w:t>
      </w:r>
      <w:r w:rsidR="006067AE">
        <w:t>.</w:t>
      </w:r>
      <w:bookmarkEnd w:id="61"/>
      <w:bookmarkEnd w:id="62"/>
      <w:bookmarkEnd w:id="63"/>
    </w:p>
    <w:p w14:paraId="0F153C03" w14:textId="2D46E49A" w:rsidR="00335D22" w:rsidRDefault="00335D22" w:rsidP="00AD28CD">
      <w:pPr>
        <w:numPr>
          <w:ilvl w:val="0"/>
          <w:numId w:val="15"/>
        </w:numPr>
        <w:tabs>
          <w:tab w:val="clear" w:pos="720"/>
          <w:tab w:val="left" w:pos="1080"/>
        </w:tabs>
        <w:ind w:left="0" w:firstLine="540"/>
      </w:pPr>
      <w:r w:rsidRPr="00335D22">
        <w:t>Because the baseboard heaters are ineffective and thermostat control illusory, disaggregation fails at its core premise: tenants are in fact billed for heat. To keep apartments habitable, tenants must rely on plug-in heaters, which are inefficient, costly, and fully metered. This creates a two-tier system: landlord-controlled baseboards that are ineffective but “free,” and tenant-purchased plug-in devices that actually keep apartments livable but come at crippling expense. In effect, tenants are billed for the landlord’s failure to maintain energy-efficient buildings. The PSC endorsed this fiction, treating “heat” as a bookkeeping category instead of a survival necessity.</w:t>
      </w:r>
    </w:p>
    <w:p w14:paraId="6EB64E7E" w14:textId="1D2CE10F" w:rsidR="00620197" w:rsidRDefault="00620197" w:rsidP="00AD28CD">
      <w:pPr>
        <w:numPr>
          <w:ilvl w:val="0"/>
          <w:numId w:val="15"/>
        </w:numPr>
        <w:tabs>
          <w:tab w:val="clear" w:pos="720"/>
          <w:tab w:val="left" w:pos="1080"/>
        </w:tabs>
        <w:ind w:left="0" w:firstLine="540"/>
      </w:pPr>
      <w:r w:rsidRPr="00620197">
        <w:t xml:space="preserve">The PSC compounded its error by dismissing air conditioning as a discretionary luxury. For seniors, disabled tenants, and others with health conditions, cooling is a medical necessity, especially during extreme heat events. Treating it as </w:t>
      </w:r>
      <w:r w:rsidRPr="00620197">
        <w:lastRenderedPageBreak/>
        <w:t>nonessential contradicts both public health realities and the PSC’s own duty to protect the public interest.</w:t>
      </w:r>
    </w:p>
    <w:p w14:paraId="40D367FE" w14:textId="7D8886DC" w:rsidR="00934277" w:rsidRDefault="0074074D" w:rsidP="00420036">
      <w:pPr>
        <w:pStyle w:val="Heading3"/>
      </w:pPr>
      <w:bookmarkStart w:id="64" w:name="_Toc207020496"/>
      <w:bookmarkStart w:id="65" w:name="_Toc207020558"/>
      <w:bookmarkStart w:id="66" w:name="_Toc207109666"/>
      <w:r w:rsidRPr="0074074D">
        <w:t>The PSC Ignored the Record</w:t>
      </w:r>
      <w:r w:rsidR="00934277">
        <w:t>.</w:t>
      </w:r>
      <w:bookmarkEnd w:id="64"/>
      <w:bookmarkEnd w:id="65"/>
      <w:bookmarkEnd w:id="66"/>
    </w:p>
    <w:p w14:paraId="40AA3071" w14:textId="77777777" w:rsidR="00620197" w:rsidRDefault="00620197" w:rsidP="00620197">
      <w:pPr>
        <w:numPr>
          <w:ilvl w:val="0"/>
          <w:numId w:val="15"/>
        </w:numPr>
        <w:tabs>
          <w:tab w:val="clear" w:pos="720"/>
          <w:tab w:val="left" w:pos="1080"/>
        </w:tabs>
        <w:ind w:left="0" w:firstLine="540"/>
      </w:pPr>
      <w:r>
        <w:t>Despite extensive evidence of heating failures, defective thermostats, and reliance on plug-in devices, the 2025 Order contains no analysis of how disaggregation affects bills, safety, or equity.</w:t>
      </w:r>
    </w:p>
    <w:p w14:paraId="105CA24D" w14:textId="188C146B" w:rsidR="00620197" w:rsidRDefault="00620197" w:rsidP="00620197">
      <w:pPr>
        <w:numPr>
          <w:ilvl w:val="0"/>
          <w:numId w:val="15"/>
        </w:numPr>
        <w:tabs>
          <w:tab w:val="clear" w:pos="720"/>
          <w:tab w:val="left" w:pos="1080"/>
        </w:tabs>
        <w:ind w:left="0" w:firstLine="540"/>
      </w:pPr>
      <w:r>
        <w:t xml:space="preserve">The PSC ignored </w:t>
      </w:r>
      <w:r w:rsidR="00AD1A1B">
        <w:t xml:space="preserve">976 </w:t>
      </w:r>
      <w:r>
        <w:t xml:space="preserve">pages of tenant </w:t>
      </w:r>
      <w:r w:rsidR="00AD1A1B">
        <w:t xml:space="preserve">comments and </w:t>
      </w:r>
      <w:r>
        <w:t>affirmations submitted with the Amended Petition for Rehearing, instead adopting the Landlord’s self-serving affidavits wholesale.</w:t>
      </w:r>
    </w:p>
    <w:p w14:paraId="0C4C6ED0" w14:textId="77777777" w:rsidR="00620197" w:rsidRDefault="00620197" w:rsidP="00620197">
      <w:pPr>
        <w:numPr>
          <w:ilvl w:val="0"/>
          <w:numId w:val="15"/>
        </w:numPr>
        <w:tabs>
          <w:tab w:val="clear" w:pos="720"/>
          <w:tab w:val="left" w:pos="1080"/>
        </w:tabs>
        <w:ind w:left="0" w:firstLine="540"/>
      </w:pPr>
      <w:r>
        <w:t>That omission, whether in the Order itself or the constructive denial of rehearing, deprived the proceeding of the evidence most relevant to tenant health, safety, and affordability.</w:t>
      </w:r>
    </w:p>
    <w:p w14:paraId="4D4B2AD2" w14:textId="7A4D05A9" w:rsidR="007816B9" w:rsidRDefault="007816B9" w:rsidP="00420036">
      <w:pPr>
        <w:pStyle w:val="Heading3"/>
      </w:pPr>
      <w:bookmarkStart w:id="67" w:name="_Toc207020497"/>
      <w:bookmarkStart w:id="68" w:name="_Toc207020559"/>
      <w:bookmarkStart w:id="69" w:name="_Toc207109667"/>
      <w:r>
        <w:t>The Harm to Tenants Is Real</w:t>
      </w:r>
      <w:r w:rsidR="002E4D77">
        <w:t>.</w:t>
      </w:r>
      <w:bookmarkEnd w:id="67"/>
      <w:bookmarkEnd w:id="68"/>
      <w:bookmarkEnd w:id="69"/>
    </w:p>
    <w:p w14:paraId="11979D54" w14:textId="1553B960" w:rsidR="003B1CCA" w:rsidRDefault="003B1CCA" w:rsidP="003B1CCA">
      <w:pPr>
        <w:numPr>
          <w:ilvl w:val="0"/>
          <w:numId w:val="15"/>
        </w:numPr>
        <w:tabs>
          <w:tab w:val="clear" w:pos="720"/>
          <w:tab w:val="left" w:pos="1080"/>
        </w:tabs>
        <w:ind w:left="0" w:firstLine="540"/>
      </w:pPr>
      <w:r>
        <w:t xml:space="preserve">Tenants on fixed incomes, including Section 8 residents, cannot absorb winter bills estimated at $400 to $1,700 per month. </w:t>
      </w:r>
      <w:r w:rsidR="00BC59B0">
        <w:t xml:space="preserve"> </w:t>
      </w:r>
      <w:r>
        <w:t>The PSC’s decision exposes vulnerable households to arrears, eviction, stress, and anxiety, while shielding the Landlord from the cost of repairing his failed heating system, gaps in exterior walls, and lack of insulation.</w:t>
      </w:r>
    </w:p>
    <w:p w14:paraId="474D9D29" w14:textId="10B54639" w:rsidR="003B1CCA" w:rsidRDefault="003B1CCA" w:rsidP="003B1CCA">
      <w:pPr>
        <w:numPr>
          <w:ilvl w:val="0"/>
          <w:numId w:val="15"/>
        </w:numPr>
        <w:tabs>
          <w:tab w:val="clear" w:pos="720"/>
          <w:tab w:val="left" w:pos="1080"/>
        </w:tabs>
        <w:ind w:left="0" w:firstLine="540"/>
      </w:pPr>
      <w:r>
        <w:t xml:space="preserve">Disaggregation was not clarification. </w:t>
      </w:r>
      <w:r w:rsidR="00BC59B0">
        <w:t xml:space="preserve"> </w:t>
      </w:r>
      <w:r>
        <w:t xml:space="preserve">It was a material modification, based on false claims, that eliminated core protections. Approving it without a new petition and full </w:t>
      </w:r>
      <w:r>
        <w:lastRenderedPageBreak/>
        <w:t>regulatory review was arbitrary, capricious, and unsupported by substantial evidence.</w:t>
      </w:r>
    </w:p>
    <w:p w14:paraId="3F5B7F80" w14:textId="496AC7E7" w:rsidR="009805FC" w:rsidRDefault="0017396E" w:rsidP="006B5390">
      <w:pPr>
        <w:pStyle w:val="Heading2"/>
      </w:pPr>
      <w:bookmarkStart w:id="70" w:name="_Toc207020498"/>
      <w:bookmarkStart w:id="71" w:name="_Toc207020560"/>
      <w:bookmarkStart w:id="72" w:name="_Toc207109668"/>
      <w:r w:rsidRPr="0017396E">
        <w:t>The PSC Collaborated with the Landlord</w:t>
      </w:r>
      <w:bookmarkEnd w:id="70"/>
      <w:bookmarkEnd w:id="71"/>
      <w:bookmarkEnd w:id="72"/>
    </w:p>
    <w:p w14:paraId="343739BA" w14:textId="7850816C" w:rsidR="009805FC" w:rsidRDefault="009805FC" w:rsidP="00420036">
      <w:pPr>
        <w:pStyle w:val="Heading3"/>
        <w:numPr>
          <w:ilvl w:val="1"/>
          <w:numId w:val="30"/>
        </w:numPr>
      </w:pPr>
      <w:bookmarkStart w:id="73" w:name="_Toc207020499"/>
      <w:bookmarkStart w:id="74" w:name="_Toc207020561"/>
      <w:bookmarkStart w:id="75" w:name="_Toc207109669"/>
      <w:r>
        <w:t xml:space="preserve">Procedural Imbalance and </w:t>
      </w:r>
      <w:r w:rsidR="001C62DE" w:rsidRPr="001C62DE">
        <w:t>One-Sided</w:t>
      </w:r>
      <w:r w:rsidRPr="00420036">
        <w:rPr>
          <w:i/>
          <w:iCs/>
        </w:rPr>
        <w:t xml:space="preserve"> </w:t>
      </w:r>
      <w:r>
        <w:t>Access</w:t>
      </w:r>
      <w:r w:rsidR="00BC77C7">
        <w:t>.</w:t>
      </w:r>
      <w:bookmarkEnd w:id="73"/>
      <w:bookmarkEnd w:id="74"/>
      <w:bookmarkEnd w:id="75"/>
    </w:p>
    <w:p w14:paraId="5C814DEB" w14:textId="2EE4A02A" w:rsidR="0003426B" w:rsidRDefault="0003426B" w:rsidP="0003426B">
      <w:pPr>
        <w:numPr>
          <w:ilvl w:val="0"/>
          <w:numId w:val="15"/>
        </w:numPr>
        <w:tabs>
          <w:tab w:val="clear" w:pos="720"/>
          <w:tab w:val="left" w:pos="1080"/>
        </w:tabs>
        <w:ind w:left="0" w:firstLine="540"/>
      </w:pPr>
      <w:r>
        <w:t xml:space="preserve">The 2025 Order was the product of an imbalanced process, marked by extensive ex parte communications between the Landlord and PSC staff. </w:t>
      </w:r>
      <w:r w:rsidR="00F3249C">
        <w:t xml:space="preserve"> </w:t>
      </w:r>
      <w:r>
        <w:t>Many of these interactions, referenced obliquely in the Order, occurred outside the public record, depriving tenants of any chance to rebut the Landlord’s assertions.</w:t>
      </w:r>
    </w:p>
    <w:p w14:paraId="7B745B84" w14:textId="77777777" w:rsidR="0003426B" w:rsidRDefault="0003426B" w:rsidP="0003426B">
      <w:pPr>
        <w:numPr>
          <w:ilvl w:val="0"/>
          <w:numId w:val="15"/>
        </w:numPr>
        <w:tabs>
          <w:tab w:val="clear" w:pos="720"/>
          <w:tab w:val="left" w:pos="1080"/>
        </w:tabs>
        <w:ind w:left="0" w:firstLine="540"/>
      </w:pPr>
      <w:r>
        <w:t>From January through December 2023, the Landlord engaged in non-public communications with PSC staff. In early December, PSC attorneys and the Landlord’s counsel began discussing the outlines of a proposed “clarification petition,” followed by a pre-petition draft on March 12, 2024, and the formal filing on March 28, 2024.</w:t>
      </w:r>
    </w:p>
    <w:p w14:paraId="4AA1120B" w14:textId="07D8E6FC" w:rsidR="0003426B" w:rsidRDefault="0003426B" w:rsidP="0003426B">
      <w:pPr>
        <w:numPr>
          <w:ilvl w:val="0"/>
          <w:numId w:val="15"/>
        </w:numPr>
        <w:tabs>
          <w:tab w:val="clear" w:pos="720"/>
          <w:tab w:val="left" w:pos="1080"/>
        </w:tabs>
        <w:ind w:left="0" w:firstLine="540"/>
      </w:pPr>
      <w:r>
        <w:t xml:space="preserve">Once the petition was filed, tenants were given only a sixty-day SAPA comment period. </w:t>
      </w:r>
      <w:r w:rsidR="0023643F">
        <w:t xml:space="preserve"> </w:t>
      </w:r>
      <w:r>
        <w:t xml:space="preserve">After that window closed, the Landlord continued submitting materials—including an October 8, 2024 “reply” letter and additional affidavits in late 2024 and early 2025. </w:t>
      </w:r>
      <w:r w:rsidR="0023643F">
        <w:t xml:space="preserve"> </w:t>
      </w:r>
      <w:r>
        <w:t>None were subject to tenant review or rebuttal.</w:t>
      </w:r>
    </w:p>
    <w:p w14:paraId="27CE7B73" w14:textId="3BB8AF3A" w:rsidR="0003426B" w:rsidRDefault="0003426B" w:rsidP="0003426B">
      <w:pPr>
        <w:numPr>
          <w:ilvl w:val="0"/>
          <w:numId w:val="15"/>
        </w:numPr>
        <w:tabs>
          <w:tab w:val="clear" w:pos="720"/>
          <w:tab w:val="left" w:pos="1080"/>
        </w:tabs>
        <w:ind w:left="0" w:firstLine="540"/>
      </w:pPr>
      <w:r>
        <w:t>One such affidavit, from Peter Curley, was never filed in the PSC’s public DMM system but was nevertheless cited in the Order as central to its decision.</w:t>
      </w:r>
      <w:r w:rsidR="00554590">
        <w:t xml:space="preserve"> </w:t>
      </w:r>
      <w:r>
        <w:t xml:space="preserve"> It claimed thermostats </w:t>
      </w:r>
      <w:r w:rsidR="004A5D7A">
        <w:t>are</w:t>
      </w:r>
      <w:r>
        <w:t xml:space="preserve"> </w:t>
      </w:r>
      <w:r>
        <w:lastRenderedPageBreak/>
        <w:t xml:space="preserve">“programmable” </w:t>
      </w:r>
      <w:r w:rsidR="00554590">
        <w:t xml:space="preserve">by the tenants, </w:t>
      </w:r>
      <w:r>
        <w:t xml:space="preserve">though in reality they </w:t>
      </w:r>
      <w:r w:rsidR="004A5D7A">
        <w:t>are</w:t>
      </w:r>
      <w:r>
        <w:t xml:space="preserve"> remotely controlled and automatically reset to </w:t>
      </w:r>
      <w:r w:rsidR="00D7491F">
        <w:t xml:space="preserve">uncomfortable </w:t>
      </w:r>
      <w:r>
        <w:t>temperatures.</w:t>
      </w:r>
    </w:p>
    <w:p w14:paraId="0660D373" w14:textId="43E70AF3" w:rsidR="00887019" w:rsidRDefault="00887019" w:rsidP="0003426B">
      <w:pPr>
        <w:numPr>
          <w:ilvl w:val="0"/>
          <w:numId w:val="15"/>
        </w:numPr>
        <w:tabs>
          <w:tab w:val="clear" w:pos="720"/>
          <w:tab w:val="left" w:pos="1080"/>
        </w:tabs>
        <w:ind w:left="0" w:firstLine="540"/>
      </w:pPr>
      <w:r w:rsidRPr="00887019">
        <w:t xml:space="preserve">The </w:t>
      </w:r>
      <w:r w:rsidR="00051B7F">
        <w:t xml:space="preserve">decision-making </w:t>
      </w:r>
      <w:r w:rsidRPr="00887019">
        <w:t xml:space="preserve">process </w:t>
      </w:r>
      <w:r w:rsidR="00375438">
        <w:t>of</w:t>
      </w:r>
      <w:r w:rsidR="00072F98">
        <w:t xml:space="preserve"> the PSC </w:t>
      </w:r>
      <w:r w:rsidR="00BE41D3">
        <w:t xml:space="preserve">was so brazenly one-sided that it </w:t>
      </w:r>
      <w:r w:rsidR="00E8244A">
        <w:t>lacked even a threadbare veil of due process</w:t>
      </w:r>
      <w:r w:rsidR="00BE41D3">
        <w:t>, and instead stands naked in it</w:t>
      </w:r>
      <w:r w:rsidR="00051B7F">
        <w:t>s</w:t>
      </w:r>
      <w:r w:rsidR="00BE41D3">
        <w:t xml:space="preserve"> bias</w:t>
      </w:r>
      <w:r w:rsidRPr="00887019">
        <w:t>.</w:t>
      </w:r>
    </w:p>
    <w:p w14:paraId="3139C753" w14:textId="5985C98C" w:rsidR="009805FC" w:rsidRDefault="008B635F" w:rsidP="00420036">
      <w:pPr>
        <w:pStyle w:val="Heading3"/>
      </w:pPr>
      <w:bookmarkStart w:id="76" w:name="_Toc207020500"/>
      <w:bookmarkStart w:id="77" w:name="_Toc207020562"/>
      <w:bookmarkStart w:id="78" w:name="_Toc207109670"/>
      <w:r>
        <w:t>Tenants Were Denied</w:t>
      </w:r>
      <w:r w:rsidR="009805FC">
        <w:t xml:space="preserve"> </w:t>
      </w:r>
      <w:r w:rsidR="003940FC">
        <w:t>Due Process</w:t>
      </w:r>
      <w:r w:rsidR="00666E56">
        <w:t>.</w:t>
      </w:r>
      <w:bookmarkEnd w:id="76"/>
      <w:bookmarkEnd w:id="77"/>
      <w:bookmarkEnd w:id="78"/>
    </w:p>
    <w:p w14:paraId="4FCA5619" w14:textId="42C51D36" w:rsidR="00114DC7" w:rsidRDefault="00662293" w:rsidP="00114DC7">
      <w:pPr>
        <w:numPr>
          <w:ilvl w:val="0"/>
          <w:numId w:val="15"/>
        </w:numPr>
        <w:tabs>
          <w:tab w:val="clear" w:pos="720"/>
          <w:tab w:val="left" w:pos="1080"/>
        </w:tabs>
        <w:ind w:left="0" w:firstLine="540"/>
      </w:pPr>
      <w:r>
        <w:t>First</w:t>
      </w:r>
      <w:r w:rsidR="006F2AAF">
        <w:t xml:space="preserve">, the </w:t>
      </w:r>
      <w:r w:rsidR="00114DC7">
        <w:t xml:space="preserve">PSC staff should not have assisted the </w:t>
      </w:r>
      <w:r w:rsidR="006F2AAF">
        <w:t xml:space="preserve">Landlord’s </w:t>
      </w:r>
      <w:r w:rsidR="00114DC7">
        <w:t xml:space="preserve">attorneys in drafting the </w:t>
      </w:r>
      <w:r w:rsidR="006F2AAF">
        <w:t xml:space="preserve">petition </w:t>
      </w:r>
      <w:r>
        <w:t>for clarification</w:t>
      </w:r>
      <w:r w:rsidR="000A373B">
        <w:t xml:space="preserve"> in 2023 and 2024.</w:t>
      </w:r>
    </w:p>
    <w:p w14:paraId="30027B19" w14:textId="3F50939B" w:rsidR="00CC3045" w:rsidRDefault="00114DC7" w:rsidP="00114DC7">
      <w:pPr>
        <w:numPr>
          <w:ilvl w:val="0"/>
          <w:numId w:val="15"/>
        </w:numPr>
        <w:tabs>
          <w:tab w:val="clear" w:pos="720"/>
          <w:tab w:val="left" w:pos="1080"/>
        </w:tabs>
        <w:ind w:left="0" w:firstLine="540"/>
      </w:pPr>
      <w:r>
        <w:t>Second, the PSC</w:t>
      </w:r>
      <w:r w:rsidR="00662293">
        <w:t xml:space="preserve"> </w:t>
      </w:r>
      <w:r w:rsidR="006F2AAF">
        <w:t>should have denied</w:t>
      </w:r>
      <w:r>
        <w:t xml:space="preserve"> th</w:t>
      </w:r>
      <w:r w:rsidR="00C0029E">
        <w:t>e</w:t>
      </w:r>
      <w:r>
        <w:t xml:space="preserve"> </w:t>
      </w:r>
      <w:r w:rsidR="00DA4397">
        <w:t xml:space="preserve">Landlord’s </w:t>
      </w:r>
      <w:r>
        <w:t>petition</w:t>
      </w:r>
      <w:r w:rsidR="006F2AAF">
        <w:t xml:space="preserve"> </w:t>
      </w:r>
      <w:r w:rsidR="00C0029E">
        <w:t>for clarification of an order that expire</w:t>
      </w:r>
      <w:r w:rsidR="00DA4397">
        <w:t>d</w:t>
      </w:r>
      <w:r w:rsidR="00C0029E">
        <w:t xml:space="preserve"> in 2016</w:t>
      </w:r>
      <w:r w:rsidR="00DA4397">
        <w:t xml:space="preserve"> </w:t>
      </w:r>
      <w:r>
        <w:t xml:space="preserve">as time-barred </w:t>
      </w:r>
      <w:r w:rsidR="006F2AAF">
        <w:t>under § 96.3(e).</w:t>
      </w:r>
    </w:p>
    <w:p w14:paraId="61CBDC81" w14:textId="5C56C1A6" w:rsidR="00B8533E" w:rsidRDefault="002D3F91" w:rsidP="006F2AAF">
      <w:pPr>
        <w:numPr>
          <w:ilvl w:val="0"/>
          <w:numId w:val="15"/>
        </w:numPr>
        <w:tabs>
          <w:tab w:val="clear" w:pos="720"/>
          <w:tab w:val="left" w:pos="1080"/>
        </w:tabs>
        <w:ind w:left="0" w:firstLine="540"/>
      </w:pPr>
      <w:r>
        <w:t xml:space="preserve">Third, the PSC should have required the Landlord to follow the </w:t>
      </w:r>
      <w:r w:rsidR="00A73D91">
        <w:t>up</w:t>
      </w:r>
      <w:r w:rsidR="005F2637">
        <w:t>graded</w:t>
      </w:r>
      <w:r w:rsidR="00A73D91">
        <w:t xml:space="preserve"> </w:t>
      </w:r>
      <w:r>
        <w:t xml:space="preserve">rules it promulgated in 16 NYCRR Part 96, and </w:t>
      </w:r>
      <w:r w:rsidR="00B8533E">
        <w:t>force the Landlord to file a new petition for permission to commence submetering at the Affected Buildings, and then provided all the safeguards to the tenants that are prescribed in Part 96, ultimately culminating in a public hearing.</w:t>
      </w:r>
    </w:p>
    <w:p w14:paraId="386971A7" w14:textId="66A6591B" w:rsidR="006F2AAF" w:rsidRDefault="00FA5CC6" w:rsidP="006F2AAF">
      <w:pPr>
        <w:numPr>
          <w:ilvl w:val="0"/>
          <w:numId w:val="15"/>
        </w:numPr>
        <w:tabs>
          <w:tab w:val="clear" w:pos="720"/>
          <w:tab w:val="left" w:pos="1080"/>
        </w:tabs>
        <w:ind w:left="0" w:firstLine="540"/>
      </w:pPr>
      <w:r>
        <w:t>But the PSC did not do any of this.  I</w:t>
      </w:r>
      <w:r w:rsidR="00B8533E">
        <w:t xml:space="preserve">nstead, </w:t>
      </w:r>
      <w:r w:rsidR="006F2AAF">
        <w:t xml:space="preserve">the PSC </w:t>
      </w:r>
      <w:r w:rsidR="00BD5CEC">
        <w:t xml:space="preserve">collaborated with </w:t>
      </w:r>
      <w:r w:rsidR="00D809E3">
        <w:t>t</w:t>
      </w:r>
      <w:r w:rsidR="00BD5CEC">
        <w:t xml:space="preserve">he Landlord in drafting his </w:t>
      </w:r>
      <w:r w:rsidR="00F85700">
        <w:t>delusive peti</w:t>
      </w:r>
      <w:r w:rsidR="00087F2B">
        <w:t xml:space="preserve">tion for over a year, which </w:t>
      </w:r>
      <w:r w:rsidR="006F2AAF">
        <w:t xml:space="preserve">allowed the Landlord to </w:t>
      </w:r>
      <w:r>
        <w:t>avoid</w:t>
      </w:r>
      <w:r w:rsidR="006F2AAF">
        <w:t xml:space="preserve"> the evidentiary and procedural </w:t>
      </w:r>
      <w:r w:rsidR="00087F2B">
        <w:t>protections for tenant</w:t>
      </w:r>
      <w:r w:rsidR="006F2AAF">
        <w:t>s of § 96.3 and</w:t>
      </w:r>
      <w:r w:rsidR="00087F2B">
        <w:t xml:space="preserve"> §</w:t>
      </w:r>
      <w:r w:rsidR="006F2AAF">
        <w:t xml:space="preserve"> 96.5. </w:t>
      </w:r>
      <w:r w:rsidR="00CC3045">
        <w:t xml:space="preserve"> </w:t>
      </w:r>
      <w:r w:rsidR="006F2AAF">
        <w:t xml:space="preserve">Tenants were thereby </w:t>
      </w:r>
      <w:r w:rsidR="00B602BB">
        <w:t xml:space="preserve">not only </w:t>
      </w:r>
      <w:r w:rsidR="006F2AAF">
        <w:t xml:space="preserve">denied the opportunity to meaningfully participate in a proceeding that directly affects </w:t>
      </w:r>
      <w:r w:rsidR="006F2AAF">
        <w:lastRenderedPageBreak/>
        <w:t>their housing costs</w:t>
      </w:r>
      <w:r w:rsidR="004E4E46">
        <w:t xml:space="preserve">, </w:t>
      </w:r>
      <w:r w:rsidR="006F2AAF">
        <w:t>safety</w:t>
      </w:r>
      <w:r w:rsidR="004E4E46">
        <w:t>, and risk of displacement</w:t>
      </w:r>
      <w:r w:rsidR="00B602BB">
        <w:t xml:space="preserve">, but were also denied any of the </w:t>
      </w:r>
      <w:r w:rsidR="00855AC2">
        <w:t xml:space="preserve">minimum </w:t>
      </w:r>
      <w:r w:rsidR="00B602BB">
        <w:t xml:space="preserve">protections embedded in the </w:t>
      </w:r>
      <w:r w:rsidR="00855AC2">
        <w:t>PSC’s rules</w:t>
      </w:r>
      <w:r w:rsidR="006F2AAF">
        <w:t>.</w:t>
      </w:r>
    </w:p>
    <w:p w14:paraId="42135E6A" w14:textId="3DC2915E" w:rsidR="0033536C" w:rsidRDefault="0033536C" w:rsidP="006F2AAF">
      <w:pPr>
        <w:numPr>
          <w:ilvl w:val="0"/>
          <w:numId w:val="15"/>
        </w:numPr>
        <w:tabs>
          <w:tab w:val="clear" w:pos="720"/>
          <w:tab w:val="left" w:pos="1080"/>
        </w:tabs>
        <w:ind w:left="0" w:firstLine="540"/>
      </w:pPr>
      <w:r w:rsidRPr="0033536C">
        <w:t xml:space="preserve">This mirrors the Supreme Court’s admonition in </w:t>
      </w:r>
      <w:r w:rsidR="00EB6E2B" w:rsidRPr="00EB6E2B">
        <w:rPr>
          <w:i/>
          <w:iCs/>
        </w:rPr>
        <w:t>Motor Vehicle Mfrs. Ass’n v. State Farm, 463 U.S. 29 (1983)</w:t>
      </w:r>
      <w:r w:rsidR="00EB6E2B">
        <w:rPr>
          <w:i/>
          <w:iCs/>
        </w:rPr>
        <w:t xml:space="preserve">, </w:t>
      </w:r>
      <w:r w:rsidRPr="0033536C">
        <w:t>that an agency rescinding—or in effect bypassing—a regulatory requirement must provide a reasoned analysis and consider alternatives, or risk acting arbitrarily and capriciously.</w:t>
      </w:r>
    </w:p>
    <w:p w14:paraId="7A9760AF" w14:textId="76702623" w:rsidR="006F2AAF" w:rsidRDefault="006F2AAF" w:rsidP="00760329">
      <w:pPr>
        <w:numPr>
          <w:ilvl w:val="0"/>
          <w:numId w:val="15"/>
        </w:numPr>
        <w:tabs>
          <w:tab w:val="clear" w:pos="720"/>
          <w:tab w:val="left" w:pos="1080"/>
        </w:tabs>
        <w:ind w:left="0" w:firstLine="540"/>
      </w:pPr>
      <w:r>
        <w:t xml:space="preserve">The </w:t>
      </w:r>
      <w:r w:rsidR="004E4E46">
        <w:t xml:space="preserve">2025 </w:t>
      </w:r>
      <w:r>
        <w:t xml:space="preserve">Order </w:t>
      </w:r>
      <w:r w:rsidR="00EB2082">
        <w:t>plainly states that it has relied</w:t>
      </w:r>
      <w:r>
        <w:t xml:space="preserve"> on materials submitted outside the formal comment process</w:t>
      </w:r>
      <w:r w:rsidR="00E45E86">
        <w:t xml:space="preserve"> (limited to 60 days as it was)</w:t>
      </w:r>
      <w:r>
        <w:t>, including responses to DPS-1, DPS-2, and DPS-3</w:t>
      </w:r>
      <w:r w:rsidR="00E45E86">
        <w:t>,</w:t>
      </w:r>
      <w:r>
        <w:t xml:space="preserve"> and factual assertions about</w:t>
      </w:r>
      <w:r w:rsidR="00760329">
        <w:t xml:space="preserve">, </w:t>
      </w:r>
      <w:r w:rsidR="00760329" w:rsidRPr="00760329">
        <w:rPr>
          <w:i/>
          <w:iCs/>
        </w:rPr>
        <w:t>inter alia</w:t>
      </w:r>
      <w:r w:rsidR="00760329">
        <w:t xml:space="preserve">, </w:t>
      </w:r>
      <w:r>
        <w:t xml:space="preserve">building conditions, </w:t>
      </w:r>
      <w:r w:rsidR="00EB2082">
        <w:t xml:space="preserve">tenant </w:t>
      </w:r>
      <w:r>
        <w:t xml:space="preserve">education, </w:t>
      </w:r>
      <w:r w:rsidR="00760329">
        <w:t xml:space="preserve">building maintenance procedures, baseboard </w:t>
      </w:r>
      <w:r>
        <w:t xml:space="preserve">heating functionality, and thermostat operability. </w:t>
      </w:r>
      <w:r w:rsidR="00E45E86">
        <w:t xml:space="preserve"> </w:t>
      </w:r>
      <w:r>
        <w:t xml:space="preserve">None were disclosed to tenants or subject to </w:t>
      </w:r>
      <w:r w:rsidR="00CE29A2">
        <w:t xml:space="preserve">due process </w:t>
      </w:r>
      <w:r>
        <w:t xml:space="preserve">testing. </w:t>
      </w:r>
      <w:r w:rsidR="00760329">
        <w:t xml:space="preserve"> </w:t>
      </w:r>
      <w:r>
        <w:t xml:space="preserve">By accepting unrebutted </w:t>
      </w:r>
      <w:r w:rsidRPr="00760329">
        <w:rPr>
          <w:i/>
          <w:iCs/>
        </w:rPr>
        <w:t>ex parte</w:t>
      </w:r>
      <w:r>
        <w:t xml:space="preserve"> submissions while disregarding tenant evidence, the PSC violated lawful procedure and due process.</w:t>
      </w:r>
    </w:p>
    <w:p w14:paraId="21D235B9" w14:textId="5A911303" w:rsidR="009805FC" w:rsidRDefault="0023305F" w:rsidP="00420036">
      <w:pPr>
        <w:pStyle w:val="Heading3"/>
      </w:pPr>
      <w:bookmarkStart w:id="79" w:name="_Toc207020501"/>
      <w:bookmarkStart w:id="80" w:name="_Toc207020563"/>
      <w:bookmarkStart w:id="81" w:name="_Toc207109671"/>
      <w:r>
        <w:t>The PSC A</w:t>
      </w:r>
      <w:r w:rsidR="00157EAA">
        <w:t>dopted and/</w:t>
      </w:r>
      <w:r>
        <w:t xml:space="preserve">or Encouraged </w:t>
      </w:r>
      <w:r w:rsidR="00B214B2">
        <w:t>the</w:t>
      </w:r>
      <w:r w:rsidR="009805FC">
        <w:t xml:space="preserve"> </w:t>
      </w:r>
      <w:r>
        <w:t>Fic</w:t>
      </w:r>
      <w:r w:rsidR="00B214B2">
        <w:t>tion of</w:t>
      </w:r>
      <w:r>
        <w:t xml:space="preserve"> </w:t>
      </w:r>
      <w:r w:rsidR="009805FC">
        <w:t>“Clarification</w:t>
      </w:r>
      <w:r w:rsidR="00B214B2">
        <w:t>”</w:t>
      </w:r>
      <w:r w:rsidR="000741B3">
        <w:t>.</w:t>
      </w:r>
      <w:bookmarkEnd w:id="79"/>
      <w:bookmarkEnd w:id="80"/>
      <w:bookmarkEnd w:id="81"/>
    </w:p>
    <w:p w14:paraId="5C4A8E0E" w14:textId="754347AF" w:rsidR="00317781" w:rsidRDefault="00C93244" w:rsidP="00317781">
      <w:pPr>
        <w:numPr>
          <w:ilvl w:val="0"/>
          <w:numId w:val="15"/>
        </w:numPr>
        <w:tabs>
          <w:tab w:val="clear" w:pos="720"/>
          <w:tab w:val="left" w:pos="1080"/>
        </w:tabs>
        <w:ind w:left="0" w:firstLine="540"/>
      </w:pPr>
      <w:r>
        <w:t xml:space="preserve">The PSC’s acceptance of the </w:t>
      </w:r>
      <w:r w:rsidR="00F86270">
        <w:t xml:space="preserve">false </w:t>
      </w:r>
      <w:r>
        <w:t xml:space="preserve">“clarification” label was not a neutral procedural choice. </w:t>
      </w:r>
      <w:r w:rsidR="00317781">
        <w:t xml:space="preserve"> </w:t>
      </w:r>
      <w:r>
        <w:t xml:space="preserve">A </w:t>
      </w:r>
      <w:r w:rsidR="00EF0C73">
        <w:t>genuine “</w:t>
      </w:r>
      <w:r>
        <w:t>petition for clarification</w:t>
      </w:r>
      <w:r w:rsidR="00CE29A2">
        <w:t>”</w:t>
      </w:r>
      <w:r>
        <w:t xml:space="preserve"> </w:t>
      </w:r>
      <w:r w:rsidR="00EF0C73">
        <w:t>seeks to resolve</w:t>
      </w:r>
      <w:r>
        <w:t xml:space="preserve"> </w:t>
      </w:r>
      <w:r w:rsidR="00CE29A2">
        <w:t xml:space="preserve">textual </w:t>
      </w:r>
      <w:r>
        <w:t>ambiguity</w:t>
      </w:r>
      <w:r w:rsidR="00EF0C73">
        <w:t xml:space="preserve">, or </w:t>
      </w:r>
      <w:r w:rsidR="0036248A">
        <w:t>accepts an existing order and seeks specific guidance on it</w:t>
      </w:r>
      <w:r w:rsidR="00B96D7A">
        <w:t>s</w:t>
      </w:r>
      <w:r w:rsidR="0036248A">
        <w:t xml:space="preserve"> implementation</w:t>
      </w:r>
      <w:r>
        <w:t xml:space="preserve">; it does not eliminate obligations, authorize new conduct, </w:t>
      </w:r>
      <w:r w:rsidR="00243E4F">
        <w:lastRenderedPageBreak/>
        <w:t>substantially modify a prior order, n</w:t>
      </w:r>
      <w:r>
        <w:t xml:space="preserve">or </w:t>
      </w:r>
      <w:r w:rsidR="00243E4F">
        <w:t xml:space="preserve">can it </w:t>
      </w:r>
      <w:r>
        <w:t>revive an approval that expired thirteen years earlier.</w:t>
      </w:r>
      <w:r w:rsidR="00B96D7A">
        <w:t xml:space="preserve">  </w:t>
      </w:r>
      <w:r w:rsidR="00002F65" w:rsidRPr="00002F65">
        <w:t xml:space="preserve">The U.S. Supreme Court made clear in </w:t>
      </w:r>
      <w:r w:rsidR="00002F65" w:rsidRPr="00002F65">
        <w:rPr>
          <w:i/>
          <w:iCs/>
        </w:rPr>
        <w:t>Motor Vehicle Mfrs. Ass’n v. State Farm</w:t>
      </w:r>
      <w:r w:rsidR="00002F65" w:rsidRPr="00002F65">
        <w:t xml:space="preserve">, 463 U.S. 29 (1983), that agencies may not disguise substantive policy changes as mere procedural adjustments. </w:t>
      </w:r>
      <w:r w:rsidR="004A3804">
        <w:t xml:space="preserve"> </w:t>
      </w:r>
      <w:r w:rsidR="00002F65" w:rsidRPr="00002F65">
        <w:t xml:space="preserve">An agency must articulate a rational explanation grounded in the relevant factors and must consider reasonable alternatives—or its action will be </w:t>
      </w:r>
      <w:r w:rsidR="004A3804">
        <w:t>overturned</w:t>
      </w:r>
      <w:r w:rsidR="00002F65" w:rsidRPr="00002F65">
        <w:t xml:space="preserve"> as arbitrary and capricious</w:t>
      </w:r>
      <w:r w:rsidR="004A3804">
        <w:t>.</w:t>
      </w:r>
    </w:p>
    <w:p w14:paraId="17A737AC" w14:textId="5D8FA53E" w:rsidR="00000147" w:rsidRDefault="00C93244" w:rsidP="00000147">
      <w:pPr>
        <w:numPr>
          <w:ilvl w:val="0"/>
          <w:numId w:val="15"/>
        </w:numPr>
        <w:tabs>
          <w:tab w:val="clear" w:pos="720"/>
          <w:tab w:val="left" w:pos="1080"/>
        </w:tabs>
        <w:ind w:left="0" w:firstLine="540"/>
      </w:pPr>
      <w:r>
        <w:t xml:space="preserve">Yet the Landlord’s 2024 petition sought sweeping relief: </w:t>
      </w:r>
      <w:r w:rsidR="00317781">
        <w:t xml:space="preserve"> </w:t>
      </w:r>
      <w:r>
        <w:t xml:space="preserve">resurrection of an expired approval, elimination of HEAP obligations, elimination of rent offsets, and approval of a disaggregated billing model never contemplated in 2011. </w:t>
      </w:r>
      <w:r w:rsidR="00317781">
        <w:t xml:space="preserve"> </w:t>
      </w:r>
      <w:r>
        <w:t xml:space="preserve">These were material modifications. By </w:t>
      </w:r>
      <w:r w:rsidR="00C479D3">
        <w:t>accepting for false pretense of</w:t>
      </w:r>
      <w:r>
        <w:t xml:space="preserve"> “clarification,” the PSC enabled the Landlord to evade the requirements of §§ 96.3 and 96.5</w:t>
      </w:r>
      <w:r w:rsidR="00CA442D">
        <w:t xml:space="preserve">, </w:t>
      </w:r>
      <w:r>
        <w:t>and denied tenants the protections of a full petition process.</w:t>
      </w:r>
    </w:p>
    <w:p w14:paraId="1E749A62" w14:textId="64855CC5" w:rsidR="00C93244" w:rsidRDefault="00C93244" w:rsidP="00000147">
      <w:pPr>
        <w:numPr>
          <w:ilvl w:val="0"/>
          <w:numId w:val="15"/>
        </w:numPr>
        <w:tabs>
          <w:tab w:val="clear" w:pos="720"/>
          <w:tab w:val="left" w:pos="1080"/>
        </w:tabs>
        <w:ind w:left="0" w:firstLine="540"/>
      </w:pPr>
      <w:r>
        <w:t xml:space="preserve">Most troubling is the thirteen months of pre-filing collaboration between PSC staff and the Landlord’s attorneys. </w:t>
      </w:r>
      <w:r w:rsidR="00000147">
        <w:t xml:space="preserve"> </w:t>
      </w:r>
      <w:r>
        <w:t xml:space="preserve">That coordination went beyond neutral agency assistance and functioned instead to </w:t>
      </w:r>
      <w:r w:rsidR="004D134C">
        <w:t>corrupt the regulatory process</w:t>
      </w:r>
      <w:r>
        <w:t xml:space="preserve"> — effectively ensuring that the </w:t>
      </w:r>
      <w:r w:rsidR="00536647">
        <w:t>Landlord would be able to obviate a new submetering petition as Part 96 requires</w:t>
      </w:r>
      <w:r>
        <w:t>.</w:t>
      </w:r>
    </w:p>
    <w:p w14:paraId="59DE6B8E" w14:textId="520ED9A9" w:rsidR="009805FC" w:rsidRDefault="000741B3" w:rsidP="00420036">
      <w:pPr>
        <w:pStyle w:val="Heading3"/>
      </w:pPr>
      <w:bookmarkStart w:id="82" w:name="_Toc207020502"/>
      <w:bookmarkStart w:id="83" w:name="_Toc207020564"/>
      <w:bookmarkStart w:id="84" w:name="_Toc207109672"/>
      <w:r>
        <w:t xml:space="preserve">The PSC </w:t>
      </w:r>
      <w:r w:rsidR="009805FC">
        <w:t>Reli</w:t>
      </w:r>
      <w:r>
        <w:t xml:space="preserve">ed </w:t>
      </w:r>
      <w:r w:rsidR="009805FC">
        <w:t>on Secret Evidence</w:t>
      </w:r>
      <w:r w:rsidR="00A9046F">
        <w:t>.</w:t>
      </w:r>
      <w:bookmarkEnd w:id="82"/>
      <w:bookmarkEnd w:id="83"/>
      <w:bookmarkEnd w:id="84"/>
    </w:p>
    <w:p w14:paraId="6568AB87" w14:textId="01B3F779" w:rsidR="00DF33B3" w:rsidRDefault="00DF33B3" w:rsidP="00DF33B3">
      <w:pPr>
        <w:numPr>
          <w:ilvl w:val="0"/>
          <w:numId w:val="15"/>
        </w:numPr>
        <w:tabs>
          <w:tab w:val="clear" w:pos="720"/>
          <w:tab w:val="left" w:pos="1080"/>
        </w:tabs>
        <w:ind w:left="0" w:firstLine="540"/>
      </w:pPr>
      <w:r>
        <w:lastRenderedPageBreak/>
        <w:t xml:space="preserve">The PSC’s </w:t>
      </w:r>
      <w:r w:rsidR="004332F8">
        <w:t xml:space="preserve">admitted </w:t>
      </w:r>
      <w:r>
        <w:t>reliance on</w:t>
      </w:r>
      <w:r w:rsidR="004332F8">
        <w:t xml:space="preserve"> at least two</w:t>
      </w:r>
      <w:r>
        <w:t xml:space="preserve"> non-public affidavits violated the </w:t>
      </w:r>
      <w:r w:rsidR="004332F8">
        <w:t>letter of the law</w:t>
      </w:r>
      <w:r>
        <w:t xml:space="preserve"> that submetering documentation be filed with the Secretary and served on interested parties</w:t>
      </w:r>
      <w:r w:rsidR="004332F8">
        <w:t xml:space="preserve">, but moreover </w:t>
      </w:r>
      <w:r w:rsidR="00513094">
        <w:t xml:space="preserve">it vitiated </w:t>
      </w:r>
      <w:r w:rsidR="004332F8">
        <w:t>the spirit of arms-length regulation</w:t>
      </w:r>
      <w:r w:rsidR="000A754A">
        <w:t xml:space="preserve"> and </w:t>
      </w:r>
      <w:r w:rsidR="004332F8">
        <w:t>fundamental fairness</w:t>
      </w:r>
      <w:r>
        <w:t xml:space="preserve">. </w:t>
      </w:r>
      <w:r w:rsidR="004332F8">
        <w:t xml:space="preserve"> </w:t>
      </w:r>
      <w:r>
        <w:t xml:space="preserve">This </w:t>
      </w:r>
      <w:r w:rsidR="000A754A">
        <w:t xml:space="preserve">misconduct by the PSC rises to the level of </w:t>
      </w:r>
      <w:r>
        <w:t xml:space="preserve">a denial of due process under Article I, § 6 of the New York Constitution and the Fourteenth Amendment. </w:t>
      </w:r>
      <w:r w:rsidRPr="00BF4A83">
        <w:rPr>
          <w:i/>
          <w:iCs/>
        </w:rPr>
        <w:t>See Mathews v. Eldridge</w:t>
      </w:r>
      <w:r>
        <w:t xml:space="preserve">, 424 U.S. 319 (1976); </w:t>
      </w:r>
      <w:r w:rsidRPr="00BF4A83">
        <w:rPr>
          <w:i/>
          <w:iCs/>
        </w:rPr>
        <w:t>Matter of Simpson v. Wolansky</w:t>
      </w:r>
      <w:r>
        <w:t>, 38 N.Y.2d 391 (1975).</w:t>
      </w:r>
    </w:p>
    <w:p w14:paraId="1F6F1262" w14:textId="1BC0F7DC" w:rsidR="00DF33B3" w:rsidRDefault="00DF33B3" w:rsidP="00DF33B3">
      <w:pPr>
        <w:numPr>
          <w:ilvl w:val="0"/>
          <w:numId w:val="15"/>
        </w:numPr>
        <w:tabs>
          <w:tab w:val="clear" w:pos="720"/>
          <w:tab w:val="left" w:pos="1080"/>
        </w:tabs>
        <w:ind w:left="0" w:firstLine="540"/>
      </w:pPr>
      <w:r>
        <w:t xml:space="preserve">The PSC’s reliance on undisclosed affidavits and other off-record materials also contravenes SAPA’s command that findings rest “exclusively on the evidence” and officially noticed matters. </w:t>
      </w:r>
      <w:r w:rsidR="00E36E1F">
        <w:t xml:space="preserve"> </w:t>
      </w:r>
      <w:r w:rsidRPr="00E36E1F">
        <w:rPr>
          <w:i/>
          <w:iCs/>
        </w:rPr>
        <w:t>See</w:t>
      </w:r>
      <w:r>
        <w:t xml:space="preserve"> SAPA § 302(3). </w:t>
      </w:r>
      <w:r w:rsidR="00E36E1F">
        <w:t xml:space="preserve"> </w:t>
      </w:r>
      <w:r>
        <w:t xml:space="preserve">New York courts annul agency determinations that turn on extra-record material. </w:t>
      </w:r>
      <w:r w:rsidRPr="00BF4A83">
        <w:rPr>
          <w:i/>
          <w:iCs/>
        </w:rPr>
        <w:t>See Beverly Farms, Inc. v. Dyson</w:t>
      </w:r>
      <w:r>
        <w:t xml:space="preserve">, 53 A.D.2d 720, 721 (3d Dep’t 1976) (annulling determination based on extra-record documentary evidence). </w:t>
      </w:r>
      <w:r w:rsidR="00E36E1F">
        <w:t xml:space="preserve"> </w:t>
      </w:r>
      <w:r>
        <w:t xml:space="preserve">The PSC’s off-record, pre-filing coordination with the Landlord, followed by reliance on undisclosed affidavits, deprived tenants of notice and a meaningful opportunity to rebut — </w:t>
      </w:r>
      <w:r w:rsidR="00D4671D">
        <w:t xml:space="preserve">and </w:t>
      </w:r>
      <w:r>
        <w:t xml:space="preserve">a </w:t>
      </w:r>
      <w:r w:rsidR="00D4671D">
        <w:t xml:space="preserve">fundamental </w:t>
      </w:r>
      <w:r>
        <w:t>denial of due process.</w:t>
      </w:r>
    </w:p>
    <w:p w14:paraId="27094C5B" w14:textId="3EA88817" w:rsidR="002D3B2E" w:rsidRPr="002D3B2E" w:rsidRDefault="002D3B2E" w:rsidP="00420036">
      <w:pPr>
        <w:pStyle w:val="Heading3"/>
      </w:pPr>
      <w:bookmarkStart w:id="85" w:name="_Toc207020503"/>
      <w:bookmarkStart w:id="86" w:name="_Toc207020565"/>
      <w:bookmarkStart w:id="87" w:name="_Toc207109673"/>
      <w:r w:rsidRPr="002D3B2E">
        <w:t xml:space="preserve">The PSC </w:t>
      </w:r>
      <w:r w:rsidR="0022363B">
        <w:t>Abandoned Neutrality</w:t>
      </w:r>
      <w:r>
        <w:t>.</w:t>
      </w:r>
      <w:bookmarkEnd w:id="85"/>
      <w:bookmarkEnd w:id="86"/>
      <w:bookmarkEnd w:id="87"/>
    </w:p>
    <w:p w14:paraId="09F02CE2" w14:textId="77777777" w:rsidR="00640AC3" w:rsidRDefault="00BB04EA" w:rsidP="001B1007">
      <w:pPr>
        <w:numPr>
          <w:ilvl w:val="0"/>
          <w:numId w:val="15"/>
        </w:numPr>
        <w:tabs>
          <w:tab w:val="clear" w:pos="720"/>
          <w:tab w:val="left" w:pos="1080"/>
        </w:tabs>
        <w:ind w:left="0" w:firstLine="540"/>
      </w:pPr>
      <w:r>
        <w:t xml:space="preserve">By treating the Landlord’s petition to revive and materially alter an approval that had expired nine years earlier as a mere “clarification,” the PSC evaded both the substantive </w:t>
      </w:r>
      <w:r>
        <w:lastRenderedPageBreak/>
        <w:t xml:space="preserve">requirements of § 96.5 and the procedural safeguards of § 96.3(e). It granted sweeping regulatory relief without transparency, public notice, or a proper evidentiary record. </w:t>
      </w:r>
      <w:r w:rsidR="00123639">
        <w:t xml:space="preserve"> </w:t>
      </w:r>
      <w:r>
        <w:t xml:space="preserve">This was a fundamental departure from the PSC’s own rules that denied tenants due process and rendered the 2025 Order jurisdictionally defective. </w:t>
      </w:r>
      <w:r w:rsidR="00123639">
        <w:t xml:space="preserve"> </w:t>
      </w:r>
      <w:r>
        <w:t xml:space="preserve">In effect, the PSC abandoned its mission as a protector of the public interest and </w:t>
      </w:r>
      <w:r w:rsidR="003A34D2" w:rsidRPr="003A34D2">
        <w:t xml:space="preserve">departed from neutrality and aligned </w:t>
      </w:r>
      <w:r w:rsidR="00123639">
        <w:t xml:space="preserve">instead </w:t>
      </w:r>
      <w:r w:rsidR="003A34D2" w:rsidRPr="003A34D2">
        <w:t xml:space="preserve">itself with the </w:t>
      </w:r>
      <w:r w:rsidR="00123639">
        <w:t xml:space="preserve">wealthy </w:t>
      </w:r>
      <w:r w:rsidR="003A34D2" w:rsidRPr="003A34D2">
        <w:t>Landlord, issuing one-sided relief no impartial regulator could lawfully provide</w:t>
      </w:r>
      <w:r w:rsidR="00640AC3">
        <w:t>.</w:t>
      </w:r>
    </w:p>
    <w:p w14:paraId="6BF67A80" w14:textId="2D17ED1D" w:rsidR="00BB04EA" w:rsidRDefault="00BB04EA" w:rsidP="001B1007">
      <w:pPr>
        <w:numPr>
          <w:ilvl w:val="0"/>
          <w:numId w:val="15"/>
        </w:numPr>
        <w:tabs>
          <w:tab w:val="clear" w:pos="720"/>
          <w:tab w:val="left" w:pos="1080"/>
        </w:tabs>
        <w:ind w:left="0" w:firstLine="540"/>
      </w:pPr>
      <w:r>
        <w:t>For these reasons, the Order must be vacated.</w:t>
      </w:r>
    </w:p>
    <w:p w14:paraId="5F00A2EC" w14:textId="6A1F167A" w:rsidR="00C63303" w:rsidRDefault="00BB04EA" w:rsidP="00DA386A">
      <w:pPr>
        <w:pStyle w:val="Heading2"/>
      </w:pPr>
      <w:bookmarkStart w:id="88" w:name="_Toc207020504"/>
      <w:bookmarkStart w:id="89" w:name="_Toc207020566"/>
      <w:bookmarkStart w:id="90" w:name="_Toc207109674"/>
      <w:r>
        <w:t xml:space="preserve">The </w:t>
      </w:r>
      <w:r w:rsidR="00DA386A">
        <w:t xml:space="preserve">Appearance of Bias </w:t>
      </w:r>
      <w:r w:rsidR="00EE74AC">
        <w:t xml:space="preserve">Alone </w:t>
      </w:r>
      <w:r w:rsidR="00DA386A">
        <w:t>Is Sufficient to Warrant Vacatur</w:t>
      </w:r>
      <w:bookmarkEnd w:id="88"/>
      <w:bookmarkEnd w:id="89"/>
      <w:bookmarkEnd w:id="90"/>
    </w:p>
    <w:p w14:paraId="08442246" w14:textId="45AE2315" w:rsidR="00722B4C" w:rsidRDefault="00722B4C" w:rsidP="00722B4C">
      <w:pPr>
        <w:numPr>
          <w:ilvl w:val="0"/>
          <w:numId w:val="15"/>
        </w:numPr>
        <w:tabs>
          <w:tab w:val="clear" w:pos="720"/>
          <w:tab w:val="left" w:pos="1080"/>
        </w:tabs>
        <w:ind w:left="0" w:firstLine="540"/>
      </w:pPr>
      <w:r>
        <w:t xml:space="preserve">The defects in process and reasoning described above are not isolated lapses but symptoms of a structural failure in regulatory neutrality. </w:t>
      </w:r>
      <w:r w:rsidR="00EE74AC">
        <w:t xml:space="preserve"> </w:t>
      </w:r>
      <w:r>
        <w:t>The PSC’s handling of this matter creates a legitimate appearance of bias and favoritism that undermines public confidence in its role as a neutral regulator.</w:t>
      </w:r>
    </w:p>
    <w:p w14:paraId="2F6CA6C0" w14:textId="77777777" w:rsidR="00722B4C" w:rsidRDefault="00722B4C" w:rsidP="00722B4C">
      <w:pPr>
        <w:numPr>
          <w:ilvl w:val="0"/>
          <w:numId w:val="15"/>
        </w:numPr>
        <w:tabs>
          <w:tab w:val="clear" w:pos="720"/>
          <w:tab w:val="left" w:pos="1080"/>
        </w:tabs>
        <w:ind w:left="0" w:firstLine="540"/>
      </w:pPr>
      <w:r>
        <w:t xml:space="preserve">The PSC’s reliance on undisclosed affidavits and off-record submissions to resolve disputed facts violates fundamental due process. </w:t>
      </w:r>
      <w:r w:rsidRPr="00EA2212">
        <w:rPr>
          <w:i/>
          <w:iCs/>
        </w:rPr>
        <w:t>See Greene v. McElroy</w:t>
      </w:r>
      <w:r>
        <w:t>, 360 U.S. 474, 492–98 (1959) (due process prohibits administrative fact-finding based on secret evidence).</w:t>
      </w:r>
    </w:p>
    <w:p w14:paraId="6BF5AAA9" w14:textId="5D8AB611" w:rsidR="00722B4C" w:rsidRDefault="00722B4C" w:rsidP="00722B4C">
      <w:pPr>
        <w:numPr>
          <w:ilvl w:val="0"/>
          <w:numId w:val="15"/>
        </w:numPr>
        <w:tabs>
          <w:tab w:val="clear" w:pos="720"/>
          <w:tab w:val="left" w:pos="1080"/>
        </w:tabs>
        <w:ind w:left="0" w:firstLine="540"/>
      </w:pPr>
      <w:r>
        <w:t xml:space="preserve">The PSC’s endorsement of the Landlord’s legal fictions — that an expired approval could be </w:t>
      </w:r>
      <w:r w:rsidR="00EA2212">
        <w:t xml:space="preserve">revived and substantially </w:t>
      </w:r>
      <w:r w:rsidR="00EA2212">
        <w:lastRenderedPageBreak/>
        <w:t xml:space="preserve">modified </w:t>
      </w:r>
      <w:r w:rsidR="000B3C2E">
        <w:t xml:space="preserve">14 years after is expired </w:t>
      </w:r>
      <w:r>
        <w:t>— without critical scrutiny, precedent, or jurisdictional justification reflects an outcome-driven process rather than one grounded in law.</w:t>
      </w:r>
    </w:p>
    <w:p w14:paraId="36646DA2" w14:textId="77777777" w:rsidR="00722B4C" w:rsidRDefault="00722B4C" w:rsidP="00722B4C">
      <w:pPr>
        <w:numPr>
          <w:ilvl w:val="0"/>
          <w:numId w:val="15"/>
        </w:numPr>
        <w:tabs>
          <w:tab w:val="clear" w:pos="720"/>
          <w:tab w:val="left" w:pos="1080"/>
        </w:tabs>
        <w:ind w:left="0" w:firstLine="540"/>
      </w:pPr>
      <w:r>
        <w:t>The governing standard for judicial review of the PSC’s decision is not proof of actual bias, but whether a reasonable observer could conclude that the agency acted with favoritism.</w:t>
      </w:r>
    </w:p>
    <w:p w14:paraId="02A88FB1" w14:textId="2D004468" w:rsidR="00722B4C" w:rsidRDefault="00722B4C" w:rsidP="00722B4C">
      <w:pPr>
        <w:numPr>
          <w:ilvl w:val="0"/>
          <w:numId w:val="15"/>
        </w:numPr>
        <w:tabs>
          <w:tab w:val="clear" w:pos="720"/>
          <w:tab w:val="left" w:pos="1080"/>
        </w:tabs>
        <w:ind w:left="0" w:firstLine="540"/>
      </w:pPr>
      <w:r>
        <w:t xml:space="preserve">By </w:t>
      </w:r>
      <w:r w:rsidR="000B388C">
        <w:t>collaborating with</w:t>
      </w:r>
      <w:r>
        <w:t xml:space="preserve"> the Landlord</w:t>
      </w:r>
      <w:r w:rsidR="000B388C">
        <w:t xml:space="preserve"> to </w:t>
      </w:r>
      <w:r w:rsidR="00570EC9">
        <w:t>advance his profit-seeking</w:t>
      </w:r>
      <w:r>
        <w:t xml:space="preserve"> interests while excluding tenants from meaningful participation</w:t>
      </w:r>
      <w:r w:rsidR="00570EC9">
        <w:t xml:space="preserve"> in the </w:t>
      </w:r>
      <w:r w:rsidR="00006635">
        <w:t>due process of regulation</w:t>
      </w:r>
      <w:r>
        <w:t xml:space="preserve">, the Commission created </w:t>
      </w:r>
      <w:r w:rsidR="0023284C">
        <w:t xml:space="preserve">such an overwhelming </w:t>
      </w:r>
      <w:r>
        <w:t xml:space="preserve">appearance of </w:t>
      </w:r>
      <w:r w:rsidR="0023284C">
        <w:t xml:space="preserve">bias, </w:t>
      </w:r>
      <w:r>
        <w:t xml:space="preserve">partiality, </w:t>
      </w:r>
      <w:r w:rsidR="0023284C">
        <w:t xml:space="preserve">and favoritism, </w:t>
      </w:r>
      <w:r w:rsidR="000B388C">
        <w:t xml:space="preserve">that it warrants </w:t>
      </w:r>
      <w:r>
        <w:t>vacatur of the 2025 Order.</w:t>
      </w:r>
    </w:p>
    <w:p w14:paraId="01B8590A" w14:textId="77777777" w:rsidR="0092567C" w:rsidRPr="0092567C" w:rsidRDefault="0092567C" w:rsidP="006672B4">
      <w:pPr>
        <w:pStyle w:val="Heading2"/>
      </w:pPr>
      <w:bookmarkStart w:id="91" w:name="_Toc207020505"/>
      <w:bookmarkStart w:id="92" w:name="_Toc207020567"/>
      <w:bookmarkStart w:id="93" w:name="_Toc207109675"/>
      <w:r w:rsidRPr="0092567C">
        <w:t>Significant Legal and Factual Changes Render the 2025 Order Invalid</w:t>
      </w:r>
      <w:bookmarkEnd w:id="91"/>
      <w:bookmarkEnd w:id="92"/>
      <w:bookmarkEnd w:id="93"/>
    </w:p>
    <w:p w14:paraId="4AB50308" w14:textId="06216E51" w:rsidR="006672B4" w:rsidRDefault="0092567C" w:rsidP="006672B4">
      <w:pPr>
        <w:numPr>
          <w:ilvl w:val="0"/>
          <w:numId w:val="15"/>
        </w:numPr>
        <w:tabs>
          <w:tab w:val="clear" w:pos="720"/>
          <w:tab w:val="left" w:pos="1080"/>
        </w:tabs>
        <w:ind w:left="0" w:firstLine="540"/>
      </w:pPr>
      <w:r w:rsidRPr="0092567C">
        <w:t>Profound legal, factual, and party changes have occurred since the Commission’s 2011 submetering approval — changes the Commission ignored in issuing its 2025 Order. The</w:t>
      </w:r>
      <w:r w:rsidR="003E25C8">
        <w:t xml:space="preserve"> failure to address these significant </w:t>
      </w:r>
      <w:r w:rsidRPr="0092567C">
        <w:t>changes render</w:t>
      </w:r>
      <w:r w:rsidR="003E25C8">
        <w:t>s</w:t>
      </w:r>
      <w:r w:rsidRPr="0092567C">
        <w:t xml:space="preserve"> the Order unlawful, </w:t>
      </w:r>
      <w:r w:rsidR="001E2CA8" w:rsidRPr="0092567C">
        <w:t xml:space="preserve">irrational, </w:t>
      </w:r>
      <w:r w:rsidR="003E25C8">
        <w:t xml:space="preserve">arbitrary and capricious, </w:t>
      </w:r>
      <w:r w:rsidR="00860385">
        <w:t xml:space="preserve">and </w:t>
      </w:r>
      <w:r w:rsidRPr="0092567C">
        <w:t xml:space="preserve">contrary to </w:t>
      </w:r>
      <w:r w:rsidR="00860385">
        <w:t>common sense</w:t>
      </w:r>
      <w:r w:rsidRPr="0092567C">
        <w:t>.</w:t>
      </w:r>
    </w:p>
    <w:p w14:paraId="11FE56AF" w14:textId="713EB55B" w:rsidR="006672B4" w:rsidRDefault="00FF3801" w:rsidP="00420036">
      <w:pPr>
        <w:pStyle w:val="Heading3"/>
        <w:numPr>
          <w:ilvl w:val="1"/>
          <w:numId w:val="34"/>
        </w:numPr>
      </w:pPr>
      <w:bookmarkStart w:id="94" w:name="_Toc207020506"/>
      <w:bookmarkStart w:id="95" w:name="_Toc207020568"/>
      <w:bookmarkStart w:id="96" w:name="_Toc207109676"/>
      <w:r>
        <w:t xml:space="preserve">Unjust </w:t>
      </w:r>
      <w:r w:rsidR="00FB68D4">
        <w:t>Claim Preclusion</w:t>
      </w:r>
      <w:r w:rsidR="00A43D6E">
        <w:t xml:space="preserve"> for Current Tenants</w:t>
      </w:r>
      <w:r w:rsidR="005863F0">
        <w:t>.</w:t>
      </w:r>
      <w:bookmarkEnd w:id="94"/>
      <w:bookmarkEnd w:id="95"/>
      <w:bookmarkEnd w:id="96"/>
    </w:p>
    <w:p w14:paraId="7995B140" w14:textId="77777777" w:rsidR="007F12DE" w:rsidRDefault="007F12DE" w:rsidP="007F12DE">
      <w:pPr>
        <w:numPr>
          <w:ilvl w:val="0"/>
          <w:numId w:val="15"/>
        </w:numPr>
        <w:tabs>
          <w:tab w:val="clear" w:pos="720"/>
          <w:tab w:val="left" w:pos="1080"/>
        </w:tabs>
        <w:ind w:left="0" w:firstLine="540"/>
      </w:pPr>
      <w:r>
        <w:t>Many current tenants—particularly in market-rate units—were not residents of the Affected Buildings during the 2008–2011 proceedings. They received no notice of the original submetering petition and had no opportunity to be heard.</w:t>
      </w:r>
    </w:p>
    <w:p w14:paraId="523969C6" w14:textId="77777777" w:rsidR="007F12DE" w:rsidRDefault="007F12DE" w:rsidP="007F12DE">
      <w:pPr>
        <w:numPr>
          <w:ilvl w:val="0"/>
          <w:numId w:val="15"/>
        </w:numPr>
        <w:tabs>
          <w:tab w:val="clear" w:pos="720"/>
          <w:tab w:val="left" w:pos="1080"/>
        </w:tabs>
        <w:ind w:left="0" w:firstLine="540"/>
      </w:pPr>
      <w:r>
        <w:lastRenderedPageBreak/>
        <w:t>Binding them to an expired approval, to which they were not parties, violates basic principles of due process. It also contradicts settled law: collateral estoppel cannot bind non-parties who lacked notice and a meaningful opportunity to participate. See Matter of Reilly v. Reid, 45 N.Y.2d 24, 28–29 (1978).</w:t>
      </w:r>
    </w:p>
    <w:p w14:paraId="6EF02D48" w14:textId="692AC816" w:rsidR="00BA637A" w:rsidRDefault="007F12DE" w:rsidP="007F12DE">
      <w:pPr>
        <w:numPr>
          <w:ilvl w:val="0"/>
          <w:numId w:val="15"/>
        </w:numPr>
        <w:tabs>
          <w:tab w:val="clear" w:pos="720"/>
          <w:tab w:val="left" w:pos="1080"/>
        </w:tabs>
        <w:ind w:left="0" w:firstLine="540"/>
      </w:pPr>
      <w:r>
        <w:t>These due process violations constitute “new circumstances warranting a different determination” under 16 NYCRR § 3.7(b), and further confirm that a new petition is legally required.</w:t>
      </w:r>
    </w:p>
    <w:p w14:paraId="3E547FB3" w14:textId="0E44A2F1" w:rsidR="00780D9C" w:rsidRPr="00780D9C" w:rsidRDefault="0092567C" w:rsidP="00420036">
      <w:pPr>
        <w:pStyle w:val="Heading3"/>
      </w:pPr>
      <w:bookmarkStart w:id="97" w:name="_Toc207020507"/>
      <w:bookmarkStart w:id="98" w:name="_Toc207020569"/>
      <w:bookmarkStart w:id="99" w:name="_Toc207109677"/>
      <w:r w:rsidRPr="0092567C">
        <w:t>The 2019 Regulatory Agreement</w:t>
      </w:r>
      <w:r w:rsidR="00E0449A" w:rsidRPr="00934333">
        <w:t>s</w:t>
      </w:r>
      <w:r w:rsidRPr="0092567C">
        <w:t xml:space="preserve"> Created New Obligations</w:t>
      </w:r>
      <w:r w:rsidR="00E0449A" w:rsidRPr="00934333">
        <w:t>.</w:t>
      </w:r>
      <w:bookmarkEnd w:id="97"/>
      <w:bookmarkEnd w:id="98"/>
      <w:bookmarkEnd w:id="99"/>
    </w:p>
    <w:p w14:paraId="298A62A5" w14:textId="0C8C786C" w:rsidR="001A7FF5" w:rsidRDefault="001A7FF5" w:rsidP="0092567C">
      <w:pPr>
        <w:numPr>
          <w:ilvl w:val="0"/>
          <w:numId w:val="15"/>
        </w:numPr>
        <w:tabs>
          <w:tab w:val="clear" w:pos="720"/>
          <w:tab w:val="left" w:pos="1080"/>
        </w:tabs>
        <w:ind w:left="0" w:firstLine="540"/>
      </w:pPr>
      <w:r w:rsidRPr="001A7FF5">
        <w:t xml:space="preserve">When the Landlord purchased the Affected Buildings in 2019, he executed at least four Regulatory Agreements with HPD and the City of New York, receiving substantial tax benefits in exchange for setting aside affordable apartments to be treated as rent-stabilized units. </w:t>
      </w:r>
      <w:r w:rsidR="00AF447C">
        <w:t xml:space="preserve"> </w:t>
      </w:r>
      <w:r w:rsidRPr="001A7FF5">
        <w:t>These agreements were not part of the 2011 record and impose ongoing obligations akin to rent stabilization—facts that materially alter the regulatory landscape and the scope of tenant protections since the prior approval.</w:t>
      </w:r>
    </w:p>
    <w:p w14:paraId="2FD1792C" w14:textId="10690FA8" w:rsidR="00A47DB7" w:rsidRDefault="0092567C" w:rsidP="0092567C">
      <w:pPr>
        <w:numPr>
          <w:ilvl w:val="0"/>
          <w:numId w:val="15"/>
        </w:numPr>
        <w:tabs>
          <w:tab w:val="clear" w:pos="720"/>
          <w:tab w:val="left" w:pos="1080"/>
        </w:tabs>
        <w:ind w:left="0" w:firstLine="540"/>
      </w:pPr>
      <w:r w:rsidRPr="0092567C">
        <w:t xml:space="preserve">Upon information and belief, the Landlord has failed to provide tenants with </w:t>
      </w:r>
      <w:r w:rsidR="00A47DB7">
        <w:t xml:space="preserve">any of the affordable housing and rent-stabilization </w:t>
      </w:r>
      <w:r w:rsidRPr="0092567C">
        <w:t xml:space="preserve">protections promised </w:t>
      </w:r>
      <w:r w:rsidR="00A47DB7">
        <w:t xml:space="preserve">to them </w:t>
      </w:r>
      <w:r w:rsidRPr="0092567C">
        <w:t>under the 2019 Agreement</w:t>
      </w:r>
      <w:r w:rsidR="00934333">
        <w:t>s</w:t>
      </w:r>
      <w:r w:rsidRPr="0092567C">
        <w:t xml:space="preserve">. </w:t>
      </w:r>
      <w:r w:rsidR="00E0449A">
        <w:t xml:space="preserve"> </w:t>
      </w:r>
      <w:r w:rsidRPr="0092567C">
        <w:t xml:space="preserve">The existence — and apparent breach — of the 2019 </w:t>
      </w:r>
      <w:r w:rsidRPr="0092567C">
        <w:lastRenderedPageBreak/>
        <w:t>Agreement</w:t>
      </w:r>
      <w:r w:rsidR="00AB1D76">
        <w:t>s</w:t>
      </w:r>
      <w:r w:rsidRPr="0092567C">
        <w:t xml:space="preserve"> underscores the </w:t>
      </w:r>
      <w:r w:rsidR="00230AD7">
        <w:t>irrationality</w:t>
      </w:r>
      <w:r w:rsidRPr="0092567C">
        <w:t xml:space="preserve"> of relying on an expired 2011 approval and highlights the </w:t>
      </w:r>
      <w:r w:rsidR="00A023AF">
        <w:t xml:space="preserve">wisdom in the </w:t>
      </w:r>
      <w:r w:rsidR="00230AD7">
        <w:t>Part 96 require</w:t>
      </w:r>
      <w:r w:rsidR="00A023AF">
        <w:t>ment of</w:t>
      </w:r>
      <w:r w:rsidR="00230AD7">
        <w:t xml:space="preserve"> a</w:t>
      </w:r>
      <w:r w:rsidRPr="0092567C">
        <w:t xml:space="preserve"> new petition that fully accounts for these legal obligations</w:t>
      </w:r>
      <w:r w:rsidR="00A023AF">
        <w:t>, five years after a prior approval expires</w:t>
      </w:r>
      <w:r w:rsidRPr="0092567C">
        <w:t>.</w:t>
      </w:r>
    </w:p>
    <w:p w14:paraId="6D0BACAC" w14:textId="3B746981" w:rsidR="00A47DB7" w:rsidRPr="00A47DB7" w:rsidRDefault="0092567C" w:rsidP="00420036">
      <w:pPr>
        <w:pStyle w:val="Heading3"/>
      </w:pPr>
      <w:bookmarkStart w:id="100" w:name="_Toc207020508"/>
      <w:bookmarkStart w:id="101" w:name="_Toc207020570"/>
      <w:bookmarkStart w:id="102" w:name="_Toc207109678"/>
      <w:r w:rsidRPr="0092567C">
        <w:t>The Public Service Law Changed</w:t>
      </w:r>
      <w:r w:rsidR="00E47B8C">
        <w:t xml:space="preserve"> in 2024.</w:t>
      </w:r>
      <w:bookmarkEnd w:id="100"/>
      <w:bookmarkEnd w:id="101"/>
      <w:bookmarkEnd w:id="102"/>
    </w:p>
    <w:p w14:paraId="47184F14" w14:textId="4AD93E44" w:rsidR="0092567C" w:rsidRPr="0092567C" w:rsidRDefault="0092567C" w:rsidP="0092567C">
      <w:pPr>
        <w:numPr>
          <w:ilvl w:val="0"/>
          <w:numId w:val="15"/>
        </w:numPr>
        <w:tabs>
          <w:tab w:val="clear" w:pos="720"/>
          <w:tab w:val="left" w:pos="1080"/>
        </w:tabs>
        <w:ind w:left="0" w:firstLine="540"/>
      </w:pPr>
      <w:r w:rsidRPr="0092567C">
        <w:t>Several key amendments to the Public Service Law were enacted in 2024, each creating substantive new rights for tenants:</w:t>
      </w:r>
    </w:p>
    <w:p w14:paraId="0A9E9DCB" w14:textId="050BCF62" w:rsidR="0092567C" w:rsidRPr="0092567C" w:rsidRDefault="0092567C" w:rsidP="00745F4B">
      <w:pPr>
        <w:numPr>
          <w:ilvl w:val="1"/>
          <w:numId w:val="15"/>
        </w:numPr>
        <w:tabs>
          <w:tab w:val="clear" w:pos="720"/>
          <w:tab w:val="left" w:pos="1080"/>
        </w:tabs>
        <w:ind w:left="1440"/>
      </w:pPr>
      <w:r w:rsidRPr="0092567C">
        <w:rPr>
          <w:b/>
          <w:bCs/>
        </w:rPr>
        <w:t>PSL § 40(1):</w:t>
      </w:r>
      <w:r w:rsidRPr="0092567C">
        <w:t xml:space="preserve"> </w:t>
      </w:r>
      <w:r w:rsidR="00DA4B6F">
        <w:t xml:space="preserve"> </w:t>
      </w:r>
      <w:r w:rsidRPr="0092567C">
        <w:t>Requires landlords to offer third-party billing notification.</w:t>
      </w:r>
    </w:p>
    <w:p w14:paraId="02181AF7" w14:textId="038E4C25" w:rsidR="0092567C" w:rsidRPr="0092567C" w:rsidRDefault="0092567C" w:rsidP="00745F4B">
      <w:pPr>
        <w:numPr>
          <w:ilvl w:val="1"/>
          <w:numId w:val="15"/>
        </w:numPr>
        <w:tabs>
          <w:tab w:val="clear" w:pos="720"/>
          <w:tab w:val="left" w:pos="1080"/>
        </w:tabs>
        <w:ind w:left="1440"/>
      </w:pPr>
      <w:r w:rsidRPr="0092567C">
        <w:rPr>
          <w:b/>
          <w:bCs/>
        </w:rPr>
        <w:t>PSL § 41(1):</w:t>
      </w:r>
      <w:r w:rsidRPr="0092567C">
        <w:t xml:space="preserve"> </w:t>
      </w:r>
      <w:r w:rsidR="00DA4B6F">
        <w:t xml:space="preserve"> </w:t>
      </w:r>
      <w:r w:rsidRPr="0092567C">
        <w:t>Limits back-billing to no more than two months.</w:t>
      </w:r>
    </w:p>
    <w:p w14:paraId="71CF1B44" w14:textId="01DC82B0" w:rsidR="0092567C" w:rsidRPr="0092567C" w:rsidRDefault="0092567C" w:rsidP="00745F4B">
      <w:pPr>
        <w:numPr>
          <w:ilvl w:val="1"/>
          <w:numId w:val="15"/>
        </w:numPr>
        <w:tabs>
          <w:tab w:val="clear" w:pos="720"/>
          <w:tab w:val="left" w:pos="1080"/>
        </w:tabs>
        <w:ind w:left="1440"/>
      </w:pPr>
      <w:r w:rsidRPr="0092567C">
        <w:rPr>
          <w:b/>
          <w:bCs/>
        </w:rPr>
        <w:t>PSL § 44(7):</w:t>
      </w:r>
      <w:r w:rsidRPr="0092567C">
        <w:t xml:space="preserve"> </w:t>
      </w:r>
      <w:r w:rsidR="00DA4B6F">
        <w:t xml:space="preserve"> </w:t>
      </w:r>
      <w:r w:rsidRPr="0092567C">
        <w:t>Requires disclosure of two years’ billing and usage history.</w:t>
      </w:r>
    </w:p>
    <w:p w14:paraId="3CF1D032" w14:textId="6ED5E331" w:rsidR="00720C43" w:rsidRDefault="00720C43" w:rsidP="00720C43">
      <w:pPr>
        <w:numPr>
          <w:ilvl w:val="0"/>
          <w:numId w:val="15"/>
        </w:numPr>
        <w:tabs>
          <w:tab w:val="clear" w:pos="720"/>
          <w:tab w:val="left" w:pos="1080"/>
        </w:tabs>
        <w:ind w:left="0" w:firstLine="540"/>
      </w:pPr>
      <w:r w:rsidRPr="00720C43">
        <w:t>The 2025 Order fails to address any of these new statutory mandates. The approved submetering plan includes no mechanism to limit retroactive billing, provide usage history, or implement third-party notifications. By ignoring these recently enacted consumer protections, the PSC effectively authorized a billing scheme that violates current law and exposes tenants to unauthorized charges. These omissions underscore the irrationality of foregoing a new petition that complies with present-day statutory requirements.</w:t>
      </w:r>
    </w:p>
    <w:p w14:paraId="7E977DAF" w14:textId="7214400E" w:rsidR="00C073B5" w:rsidRPr="00C073B5" w:rsidRDefault="0092567C" w:rsidP="00420036">
      <w:pPr>
        <w:pStyle w:val="Heading3"/>
      </w:pPr>
      <w:bookmarkStart w:id="103" w:name="_Toc207020509"/>
      <w:bookmarkStart w:id="104" w:name="_Toc207020571"/>
      <w:bookmarkStart w:id="105" w:name="_Toc207109679"/>
      <w:r w:rsidRPr="0092567C">
        <w:t>The Good Cause Eviction Law Was Enacted</w:t>
      </w:r>
      <w:r w:rsidR="00C073B5">
        <w:t xml:space="preserve"> in 2023.</w:t>
      </w:r>
      <w:bookmarkEnd w:id="103"/>
      <w:bookmarkEnd w:id="104"/>
      <w:bookmarkEnd w:id="105"/>
    </w:p>
    <w:p w14:paraId="3A27EB67" w14:textId="2B4B1074" w:rsidR="0066350A" w:rsidRDefault="0092567C" w:rsidP="00C073B5">
      <w:pPr>
        <w:numPr>
          <w:ilvl w:val="0"/>
          <w:numId w:val="15"/>
        </w:numPr>
        <w:tabs>
          <w:tab w:val="clear" w:pos="720"/>
          <w:tab w:val="left" w:pos="1080"/>
        </w:tabs>
        <w:ind w:left="0" w:firstLine="540"/>
      </w:pPr>
      <w:r w:rsidRPr="0092567C">
        <w:lastRenderedPageBreak/>
        <w:t>The 2023 enactment of New York’s Good Cause Eviction Law (</w:t>
      </w:r>
      <w:r w:rsidR="009D2308" w:rsidRPr="009D2308">
        <w:t>RPL § 213-c</w:t>
      </w:r>
      <w:r w:rsidRPr="0092567C">
        <w:t xml:space="preserve">) caps annual rent increases at the lesser of 10% or 5% plus local CPI. </w:t>
      </w:r>
      <w:r w:rsidR="0066350A">
        <w:t xml:space="preserve"> </w:t>
      </w:r>
      <w:r w:rsidRPr="0092567C">
        <w:t>Based on shadow bills from 2009, submetering would cause effective rent hikes of 17% to 50%, far exceeding these limits.</w:t>
      </w:r>
    </w:p>
    <w:p w14:paraId="4B4A2FE7" w14:textId="20096C2D" w:rsidR="0092567C" w:rsidRPr="0092567C" w:rsidRDefault="0092567C" w:rsidP="00C073B5">
      <w:pPr>
        <w:numPr>
          <w:ilvl w:val="0"/>
          <w:numId w:val="15"/>
        </w:numPr>
        <w:tabs>
          <w:tab w:val="clear" w:pos="720"/>
          <w:tab w:val="left" w:pos="1080"/>
        </w:tabs>
        <w:ind w:left="0" w:firstLine="540"/>
      </w:pPr>
      <w:r w:rsidRPr="0092567C">
        <w:t xml:space="preserve">The Commission made no findings addressing </w:t>
      </w:r>
      <w:r w:rsidR="00015370">
        <w:t xml:space="preserve">the </w:t>
      </w:r>
      <w:r w:rsidRPr="0092567C">
        <w:t xml:space="preserve">Good Cause Eviction </w:t>
      </w:r>
      <w:r w:rsidR="00015370">
        <w:t xml:space="preserve">Law </w:t>
      </w:r>
      <w:r w:rsidRPr="0092567C">
        <w:t xml:space="preserve">or whether the proposed charges would comply with its protections. </w:t>
      </w:r>
      <w:r w:rsidR="00725C37">
        <w:t xml:space="preserve"> </w:t>
      </w:r>
      <w:r w:rsidRPr="0092567C">
        <w:t>This legal omission further invalidates the Order</w:t>
      </w:r>
      <w:r w:rsidR="00015370">
        <w:t xml:space="preserve"> as irrational</w:t>
      </w:r>
      <w:r w:rsidRPr="0092567C">
        <w:t>.</w:t>
      </w:r>
    </w:p>
    <w:p w14:paraId="7029EE60" w14:textId="46D1185F" w:rsidR="00725C37" w:rsidRPr="00725C37" w:rsidRDefault="0092567C" w:rsidP="00420036">
      <w:pPr>
        <w:pStyle w:val="Heading3"/>
      </w:pPr>
      <w:bookmarkStart w:id="106" w:name="_Toc207020510"/>
      <w:bookmarkStart w:id="107" w:name="_Toc207020572"/>
      <w:bookmarkStart w:id="108" w:name="_Toc207109680"/>
      <w:r w:rsidRPr="0092567C">
        <w:t>Conclusion</w:t>
      </w:r>
      <w:r w:rsidR="00991454">
        <w:t>.</w:t>
      </w:r>
      <w:bookmarkEnd w:id="106"/>
      <w:bookmarkEnd w:id="107"/>
      <w:bookmarkEnd w:id="108"/>
    </w:p>
    <w:p w14:paraId="0E800228" w14:textId="3723F520" w:rsidR="006B16F9" w:rsidRDefault="006B16F9" w:rsidP="0092567C">
      <w:pPr>
        <w:numPr>
          <w:ilvl w:val="0"/>
          <w:numId w:val="15"/>
        </w:numPr>
        <w:tabs>
          <w:tab w:val="clear" w:pos="720"/>
          <w:tab w:val="left" w:pos="1080"/>
        </w:tabs>
        <w:ind w:left="0" w:firstLine="540"/>
      </w:pPr>
      <w:r w:rsidRPr="006B16F9">
        <w:t>The tenant population, regulatory obligations, and statutory landscape have fundamentally changed since 2011. By ignoring these developments, the PSC treated a materially different situation as though nothing had changed over thirteen years. This disregard for both law and fact renders the 2025 Order arbitrary and capricious under CPLR § 7803(3), and a denial of due process under Article I, § 6 of the New York Constitution. The Order must be vacated, and any future consideration of submetering must begin with a new petition under the current legal framework.</w:t>
      </w:r>
    </w:p>
    <w:p w14:paraId="3AE53F60" w14:textId="5796F8ED" w:rsidR="00F64190" w:rsidRPr="00F64190" w:rsidRDefault="00F64190" w:rsidP="00335DE6">
      <w:pPr>
        <w:pStyle w:val="Heading2"/>
      </w:pPr>
      <w:bookmarkStart w:id="109" w:name="_Toc207020511"/>
      <w:bookmarkStart w:id="110" w:name="_Toc207020573"/>
      <w:bookmarkStart w:id="111" w:name="_Toc207109681"/>
      <w:r w:rsidRPr="00F64190">
        <w:t>The Commission Applied an Obsolete Financial Harm Test</w:t>
      </w:r>
      <w:r w:rsidR="001B1868">
        <w:t xml:space="preserve"> from 2009</w:t>
      </w:r>
      <w:bookmarkEnd w:id="109"/>
      <w:bookmarkEnd w:id="110"/>
      <w:bookmarkEnd w:id="111"/>
    </w:p>
    <w:p w14:paraId="07BD16A7" w14:textId="2FA7B65B" w:rsidR="00F64190" w:rsidRPr="00F64190" w:rsidRDefault="00F64190" w:rsidP="00F64190">
      <w:pPr>
        <w:numPr>
          <w:ilvl w:val="0"/>
          <w:numId w:val="15"/>
        </w:numPr>
        <w:tabs>
          <w:tab w:val="clear" w:pos="720"/>
          <w:tab w:val="left" w:pos="1080"/>
        </w:tabs>
        <w:ind w:left="0" w:firstLine="540"/>
      </w:pPr>
      <w:r w:rsidRPr="00F64190">
        <w:t xml:space="preserve">One of the most serious defects in the 2025 Order is its reliance on a financial harm analysis last performed in 2009. </w:t>
      </w:r>
      <w:r w:rsidR="001B1868">
        <w:t xml:space="preserve"> </w:t>
      </w:r>
      <w:r w:rsidRPr="00F64190">
        <w:t xml:space="preserve">That analysis, conducted under outdated standards and economic </w:t>
      </w:r>
      <w:r w:rsidRPr="00F64190">
        <w:lastRenderedPageBreak/>
        <w:t xml:space="preserve">conditions, cannot legally support a submetering </w:t>
      </w:r>
      <w:r w:rsidR="00F9669F">
        <w:t>approval</w:t>
      </w:r>
      <w:r w:rsidRPr="00F64190">
        <w:t xml:space="preserve"> in 2025. </w:t>
      </w:r>
      <w:r w:rsidR="005D0CD7">
        <w:t xml:space="preserve"> </w:t>
      </w:r>
      <w:r w:rsidRPr="00F64190">
        <w:t xml:space="preserve">The financial harm test is the central safeguard in the PSC’s submetering framework, designed to ensure tenants are not burdened with unaffordable electricity costs. </w:t>
      </w:r>
      <w:r w:rsidR="005D0CD7">
        <w:t xml:space="preserve"> </w:t>
      </w:r>
      <w:r w:rsidR="0061023E" w:rsidRPr="0061023E">
        <w:t>Applying an obsolete test to a different tenant population, under radically changed housing and energy conditions thirteen years later, not only violates PSC regulations and due process, but also defies common sense</w:t>
      </w:r>
      <w:r w:rsidRPr="00F64190">
        <w:t>.</w:t>
      </w:r>
    </w:p>
    <w:p w14:paraId="5F346884" w14:textId="5EA0BEFD" w:rsidR="00335DE6" w:rsidRPr="00335DE6" w:rsidRDefault="00F64190" w:rsidP="00420036">
      <w:pPr>
        <w:pStyle w:val="Heading3"/>
        <w:numPr>
          <w:ilvl w:val="1"/>
          <w:numId w:val="37"/>
        </w:numPr>
      </w:pPr>
      <w:bookmarkStart w:id="112" w:name="_Toc207020512"/>
      <w:bookmarkStart w:id="113" w:name="_Toc207020574"/>
      <w:bookmarkStart w:id="114" w:name="_Toc207109682"/>
      <w:r w:rsidRPr="00F64190">
        <w:t>The Governing Law Has Changed</w:t>
      </w:r>
      <w:r w:rsidR="00991454">
        <w:t>.</w:t>
      </w:r>
      <w:bookmarkEnd w:id="112"/>
      <w:bookmarkEnd w:id="113"/>
      <w:bookmarkEnd w:id="114"/>
    </w:p>
    <w:p w14:paraId="62434C1D" w14:textId="77777777" w:rsidR="00E64F64" w:rsidRDefault="00F64190" w:rsidP="00F64190">
      <w:pPr>
        <w:numPr>
          <w:ilvl w:val="0"/>
          <w:numId w:val="15"/>
        </w:numPr>
        <w:tabs>
          <w:tab w:val="clear" w:pos="720"/>
          <w:tab w:val="left" w:pos="1080"/>
        </w:tabs>
        <w:ind w:left="0" w:firstLine="540"/>
      </w:pPr>
      <w:r w:rsidRPr="00F64190">
        <w:t xml:space="preserve">The financial harm standard was originally set forth in a 2010 Order, which </w:t>
      </w:r>
      <w:r w:rsidR="005449CD">
        <w:t xml:space="preserve">under the rules in effect at the time, </w:t>
      </w:r>
      <w:r w:rsidRPr="00F64190">
        <w:t>allowed submetering if 50% of tenants were projected to experience no harm or a financial benefit. In 2012, the PSC amended 16 NYCRR § 96.5(l)(3), raising that threshold to 60% to account for underestimation risks and to protect low-income tenants. The revised rule also requires recent, apartment-level shadow billing or comparable data from similarly situated buildings.</w:t>
      </w:r>
    </w:p>
    <w:p w14:paraId="2A8519B9" w14:textId="7D5104EB" w:rsidR="003939E2" w:rsidRDefault="00F64190" w:rsidP="00F64190">
      <w:pPr>
        <w:numPr>
          <w:ilvl w:val="0"/>
          <w:numId w:val="15"/>
        </w:numPr>
        <w:tabs>
          <w:tab w:val="clear" w:pos="720"/>
          <w:tab w:val="left" w:pos="1080"/>
        </w:tabs>
        <w:ind w:left="0" w:firstLine="540"/>
      </w:pPr>
      <w:r w:rsidRPr="00F64190">
        <w:t xml:space="preserve">Despite these changes, the 2025 Order relies on </w:t>
      </w:r>
      <w:r w:rsidR="00E64F64">
        <w:t xml:space="preserve">obsolete </w:t>
      </w:r>
      <w:r w:rsidRPr="00F64190">
        <w:t>projections from 2009</w:t>
      </w:r>
      <w:r w:rsidR="0087316F">
        <w:t>.  The PSC made</w:t>
      </w:r>
      <w:r w:rsidRPr="00F64190">
        <w:t xml:space="preserve"> no effort to </w:t>
      </w:r>
      <w:r w:rsidR="0087316F">
        <w:t xml:space="preserve">update the data, nor to </w:t>
      </w:r>
      <w:r w:rsidRPr="00F64190">
        <w:t xml:space="preserve">verify compliance with the 60% rule. </w:t>
      </w:r>
    </w:p>
    <w:p w14:paraId="7C1AB0CC" w14:textId="55D33E96" w:rsidR="00F64190" w:rsidRPr="00F64190" w:rsidRDefault="00F64190" w:rsidP="00F64190">
      <w:pPr>
        <w:numPr>
          <w:ilvl w:val="0"/>
          <w:numId w:val="15"/>
        </w:numPr>
        <w:tabs>
          <w:tab w:val="clear" w:pos="720"/>
          <w:tab w:val="left" w:pos="1080"/>
        </w:tabs>
        <w:ind w:left="0" w:firstLine="540"/>
      </w:pPr>
      <w:r w:rsidRPr="00F64190">
        <w:t xml:space="preserve">As the PSC itself </w:t>
      </w:r>
      <w:r w:rsidR="0044644E">
        <w:t>emphasized to importance of the new 60% standard when it adopted</w:t>
      </w:r>
      <w:r w:rsidRPr="00F64190">
        <w:t xml:space="preserve"> </w:t>
      </w:r>
      <w:r w:rsidR="0044644E">
        <w:t>its</w:t>
      </w:r>
      <w:r w:rsidRPr="00F64190">
        <w:t xml:space="preserve"> 2012 revisions</w:t>
      </w:r>
      <w:r w:rsidR="003939E2">
        <w:t xml:space="preserve"> to Part 96</w:t>
      </w:r>
      <w:r w:rsidRPr="00F64190">
        <w:t>:</w:t>
      </w:r>
    </w:p>
    <w:p w14:paraId="26FD81CA" w14:textId="134365D8" w:rsidR="00F64190" w:rsidRDefault="00F64190" w:rsidP="00837633">
      <w:pPr>
        <w:tabs>
          <w:tab w:val="clear" w:pos="720"/>
          <w:tab w:val="left" w:pos="1080"/>
        </w:tabs>
        <w:spacing w:line="240" w:lineRule="auto"/>
        <w:ind w:left="1080" w:right="720"/>
      </w:pPr>
      <w:r w:rsidRPr="00F64190">
        <w:t xml:space="preserve">Because landlords could not forecast definitive annual financial impacts on low-income customers, we are increasing the baseline percentage to 60% to recognize the likelihood of inaccuracies. </w:t>
      </w:r>
      <w:r w:rsidR="0096734F" w:rsidRPr="0096734F">
        <w:rPr>
          <w:i/>
          <w:iCs/>
        </w:rPr>
        <w:t xml:space="preserve">Memorandum and Resolution Adopting Residential Electric </w:t>
      </w:r>
      <w:r w:rsidR="0096734F" w:rsidRPr="0096734F">
        <w:rPr>
          <w:i/>
          <w:iCs/>
        </w:rPr>
        <w:lastRenderedPageBreak/>
        <w:t>Submetering Regulations</w:t>
      </w:r>
      <w:r w:rsidR="0096734F" w:rsidRPr="0096734F">
        <w:t>, Case 11-M-0710, Public Service Commission (Dec. 18, 2012), at 26.</w:t>
      </w:r>
      <w:r w:rsidR="0096734F" w:rsidRPr="00F64190">
        <w:t xml:space="preserve"> </w:t>
      </w:r>
    </w:p>
    <w:p w14:paraId="05094A96" w14:textId="77777777" w:rsidR="0096734F" w:rsidRPr="00F64190" w:rsidRDefault="0096734F" w:rsidP="0096734F">
      <w:pPr>
        <w:tabs>
          <w:tab w:val="clear" w:pos="720"/>
          <w:tab w:val="left" w:pos="1080"/>
        </w:tabs>
        <w:spacing w:line="240" w:lineRule="auto"/>
        <w:ind w:left="720" w:right="720"/>
      </w:pPr>
    </w:p>
    <w:p w14:paraId="18CBE396" w14:textId="3AC160C2" w:rsidR="003939E2" w:rsidRDefault="00F64190" w:rsidP="003939E2">
      <w:pPr>
        <w:numPr>
          <w:ilvl w:val="0"/>
          <w:numId w:val="15"/>
        </w:numPr>
        <w:tabs>
          <w:tab w:val="clear" w:pos="720"/>
          <w:tab w:val="left" w:pos="1080"/>
        </w:tabs>
        <w:ind w:left="0" w:firstLine="540"/>
      </w:pPr>
      <w:r w:rsidRPr="00F64190">
        <w:t>The 2025 Order contains no updated data, no finding that 60% of tenants would avoid harm, and no explanation for ignoring the current regulatory standard.</w:t>
      </w:r>
      <w:r w:rsidR="00D06691">
        <w:t xml:space="preserve">  </w:t>
      </w:r>
      <w:r w:rsidR="00B81068">
        <w:t>This is a</w:t>
      </w:r>
      <w:r w:rsidR="00B81068" w:rsidRPr="00B81068">
        <w:t xml:space="preserve"> truly irrational act so ungrounded in logic that no reasonable person </w:t>
      </w:r>
      <w:r w:rsidR="00C573B4">
        <w:t>w</w:t>
      </w:r>
      <w:r w:rsidR="00B81068" w:rsidRPr="00B81068">
        <w:t>ould have made the same choice.</w:t>
      </w:r>
      <w:r w:rsidR="00C573B4">
        <w:t xml:space="preserve"> </w:t>
      </w:r>
      <w:r w:rsidR="007F5945">
        <w:t xml:space="preserve"> </w:t>
      </w:r>
      <w:r w:rsidR="007F5945" w:rsidRPr="007F5945">
        <w:t xml:space="preserve">Such irrationality warrants vacatur. </w:t>
      </w:r>
      <w:r w:rsidR="007F5945" w:rsidRPr="007F5945">
        <w:rPr>
          <w:i/>
          <w:iCs/>
        </w:rPr>
        <w:t>See Motor Vehicle Mfrs. Ass’n v. State Farm</w:t>
      </w:r>
      <w:r w:rsidR="007F5945" w:rsidRPr="007F5945">
        <w:t>, 463 U.S. 29, 43 (1983) (‘[A]n agency rule would be arbitrary and capricious if the agency has… entirely failed to consider an important aspect of the problem…’).</w:t>
      </w:r>
    </w:p>
    <w:p w14:paraId="22F99F63" w14:textId="574E2BC7" w:rsidR="003939E2" w:rsidRPr="003939E2" w:rsidRDefault="00F64190" w:rsidP="00420036">
      <w:pPr>
        <w:pStyle w:val="Heading3"/>
      </w:pPr>
      <w:bookmarkStart w:id="115" w:name="_Toc207020513"/>
      <w:bookmarkStart w:id="116" w:name="_Toc207020575"/>
      <w:bookmarkStart w:id="117" w:name="_Toc207109683"/>
      <w:r w:rsidRPr="00F64190">
        <w:t>The 2011 Order Does Not Meet the Current Standard</w:t>
      </w:r>
      <w:r w:rsidR="008613FD">
        <w:t>.</w:t>
      </w:r>
      <w:bookmarkEnd w:id="115"/>
      <w:bookmarkEnd w:id="116"/>
      <w:bookmarkEnd w:id="117"/>
    </w:p>
    <w:p w14:paraId="14BC54C4" w14:textId="60307BB6" w:rsidR="003939E2" w:rsidRDefault="00F64190" w:rsidP="00F64190">
      <w:pPr>
        <w:numPr>
          <w:ilvl w:val="0"/>
          <w:numId w:val="15"/>
        </w:numPr>
        <w:tabs>
          <w:tab w:val="clear" w:pos="720"/>
          <w:tab w:val="left" w:pos="1080"/>
        </w:tabs>
        <w:ind w:left="0" w:firstLine="540"/>
      </w:pPr>
      <w:r w:rsidRPr="00F64190">
        <w:t xml:space="preserve">The 2011 Order barely cleared the former 50% threshold, based on projections from the prior owner. </w:t>
      </w:r>
      <w:r w:rsidR="00CD57DA">
        <w:t xml:space="preserve"> </w:t>
      </w:r>
      <w:r w:rsidRPr="00F64190">
        <w:t xml:space="preserve">It would not satisfy the 60% test. </w:t>
      </w:r>
      <w:r w:rsidR="00CD57DA">
        <w:t xml:space="preserve"> </w:t>
      </w:r>
      <w:r w:rsidRPr="00F64190">
        <w:t xml:space="preserve">Those figures relied on rent, utility, and usage data from 2009–2010 that are now obsolete. Section 96.5(l)(3) requires a new demonstration, with current data, that </w:t>
      </w:r>
      <w:r w:rsidR="00900B89" w:rsidRPr="00F64190">
        <w:t>most</w:t>
      </w:r>
      <w:r w:rsidRPr="00F64190">
        <w:t xml:space="preserve"> tenants will pay less under submetering than the rent reduction they receive.</w:t>
      </w:r>
      <w:r w:rsidR="0066665A">
        <w:t xml:space="preserve"> </w:t>
      </w:r>
      <w:r w:rsidR="0066665A" w:rsidRPr="0066665A">
        <w:rPr>
          <w:i/>
          <w:iCs/>
        </w:rPr>
        <w:t>See</w:t>
      </w:r>
      <w:r w:rsidR="0066665A">
        <w:t xml:space="preserve"> </w:t>
      </w:r>
      <w:r w:rsidR="0066665A" w:rsidRPr="0066665A">
        <w:t>16 NYCRR § 96.5(l)(3) (requiring demonstration that at least 60% of tenants will experience no adverse bill impact, based on recent, apartment-specific usage data)</w:t>
      </w:r>
      <w:r w:rsidRPr="00F64190">
        <w:t xml:space="preserve"> </w:t>
      </w:r>
      <w:r w:rsidR="00CD57DA">
        <w:t xml:space="preserve"> </w:t>
      </w:r>
      <w:r w:rsidRPr="00F64190">
        <w:t>The 2025 Order contains no such demonstration and instead rests on expired assumptions.</w:t>
      </w:r>
    </w:p>
    <w:p w14:paraId="145768D1" w14:textId="63ED7AF3" w:rsidR="003939E2" w:rsidRPr="003939E2" w:rsidRDefault="00F64190" w:rsidP="00420036">
      <w:pPr>
        <w:pStyle w:val="Heading3"/>
      </w:pPr>
      <w:bookmarkStart w:id="118" w:name="_Toc207020514"/>
      <w:bookmarkStart w:id="119" w:name="_Toc207020576"/>
      <w:bookmarkStart w:id="120" w:name="_Toc207109684"/>
      <w:r w:rsidRPr="00F64190">
        <w:t xml:space="preserve">No Financial Harm Analysis Was Performed </w:t>
      </w:r>
      <w:r w:rsidR="00604088">
        <w:t>in 2025.</w:t>
      </w:r>
      <w:bookmarkEnd w:id="118"/>
      <w:bookmarkEnd w:id="119"/>
      <w:bookmarkEnd w:id="120"/>
    </w:p>
    <w:p w14:paraId="43D4D385" w14:textId="77777777" w:rsidR="008613FD" w:rsidRDefault="00F64190" w:rsidP="008613FD">
      <w:pPr>
        <w:numPr>
          <w:ilvl w:val="0"/>
          <w:numId w:val="15"/>
        </w:numPr>
        <w:tabs>
          <w:tab w:val="clear" w:pos="720"/>
          <w:tab w:val="left" w:pos="1080"/>
        </w:tabs>
        <w:ind w:left="0" w:firstLine="540"/>
      </w:pPr>
      <w:r w:rsidRPr="00F64190">
        <w:lastRenderedPageBreak/>
        <w:t xml:space="preserve">The current tenant population — which includes Section 8 households, </w:t>
      </w:r>
      <w:r w:rsidR="008613FD">
        <w:t>senior citizens</w:t>
      </w:r>
      <w:r w:rsidRPr="00F64190">
        <w:t xml:space="preserve">, and low-income tenants — was not part of the 2011 proceeding and had no opportunity to contest the earlier findings. </w:t>
      </w:r>
      <w:r w:rsidR="008613FD">
        <w:t xml:space="preserve"> </w:t>
      </w:r>
      <w:r w:rsidRPr="00F64190">
        <w:t xml:space="preserve">Yet the PSC imposed submetering on them based on stale, unauthenticated projections. </w:t>
      </w:r>
      <w:r w:rsidR="008613FD">
        <w:t xml:space="preserve"> </w:t>
      </w:r>
      <w:r w:rsidRPr="00F64190">
        <w:t>This procedural shortcut violates due process and fails the “rational basis” requirement under CPLR Article 78.</w:t>
      </w:r>
    </w:p>
    <w:p w14:paraId="11DFEB1F" w14:textId="57CBDEE1" w:rsidR="008613FD" w:rsidRPr="008613FD" w:rsidRDefault="00F64190" w:rsidP="00420036">
      <w:pPr>
        <w:pStyle w:val="Heading3"/>
      </w:pPr>
      <w:bookmarkStart w:id="121" w:name="_Toc207020515"/>
      <w:bookmarkStart w:id="122" w:name="_Toc207020577"/>
      <w:bookmarkStart w:id="123" w:name="_Toc207109685"/>
      <w:r w:rsidRPr="00F64190">
        <w:t>Conclusion</w:t>
      </w:r>
      <w:r w:rsidR="00991454">
        <w:t>.</w:t>
      </w:r>
      <w:bookmarkEnd w:id="121"/>
      <w:bookmarkEnd w:id="122"/>
      <w:bookmarkEnd w:id="123"/>
    </w:p>
    <w:p w14:paraId="390526B9" w14:textId="1DFA2391" w:rsidR="00901162" w:rsidRDefault="00901162" w:rsidP="008613FD">
      <w:pPr>
        <w:numPr>
          <w:ilvl w:val="0"/>
          <w:numId w:val="15"/>
        </w:numPr>
        <w:tabs>
          <w:tab w:val="clear" w:pos="720"/>
          <w:tab w:val="left" w:pos="1080"/>
        </w:tabs>
        <w:ind w:left="0" w:firstLine="540"/>
      </w:pPr>
      <w:r w:rsidRPr="00901162">
        <w:t>Submetering cannot lawfully proceed without a new financial harm analysis that complies with § 96.5(l)(3), reflects present-day conditions, and accurately measures tenant vulnerability under the 60% standard. The PSC’s reliance on expired data, a defunct threshold, and an outdated tenant profile renders the 2025 Order arbitrary, capricious, and unlawful under both agency regulations and CPLR Article 78.</w:t>
      </w:r>
    </w:p>
    <w:p w14:paraId="6ECCBB8B" w14:textId="2892B67D" w:rsidR="004F56AE" w:rsidRDefault="004F56AE" w:rsidP="004F56AE">
      <w:pPr>
        <w:pStyle w:val="Heading2"/>
      </w:pPr>
      <w:bookmarkStart w:id="124" w:name="_Toc207020516"/>
      <w:bookmarkStart w:id="125" w:name="_Toc207020578"/>
      <w:bookmarkStart w:id="126" w:name="_Toc207109686"/>
      <w:r>
        <w:t>The 2025 Order Must Be Vacated for Noncompliance with Part 96</w:t>
      </w:r>
      <w:bookmarkEnd w:id="124"/>
      <w:bookmarkEnd w:id="125"/>
      <w:bookmarkEnd w:id="126"/>
    </w:p>
    <w:p w14:paraId="56305EC9" w14:textId="71A45429" w:rsidR="002424EB" w:rsidRPr="00060C08" w:rsidRDefault="004F56AE" w:rsidP="004F56AE">
      <w:pPr>
        <w:numPr>
          <w:ilvl w:val="0"/>
          <w:numId w:val="15"/>
        </w:numPr>
        <w:tabs>
          <w:tab w:val="clear" w:pos="720"/>
          <w:tab w:val="left" w:pos="1080"/>
        </w:tabs>
        <w:ind w:left="0" w:firstLine="540"/>
      </w:pPr>
      <w:r>
        <w:t>The 2025 Order is legally deficient because it fails to comply with the mandatory requirements of 16 NYCRR §§ 96.3 and 96.5. These provisions are binding rules designed to protect tenants from unaffordable utility costs and to ensure procedural fairness. The PSC’s disregard of them renders the Order invalid.</w:t>
      </w:r>
    </w:p>
    <w:p w14:paraId="6E1B0DAD" w14:textId="1F6F96B4" w:rsidR="00060C08" w:rsidRDefault="009C5178" w:rsidP="00420036">
      <w:pPr>
        <w:pStyle w:val="Heading3"/>
        <w:numPr>
          <w:ilvl w:val="1"/>
          <w:numId w:val="42"/>
        </w:numPr>
      </w:pPr>
      <w:bookmarkStart w:id="127" w:name="_Toc207020517"/>
      <w:bookmarkStart w:id="128" w:name="_Toc207020579"/>
      <w:bookmarkStart w:id="129" w:name="_Toc207109687"/>
      <w:r>
        <w:t xml:space="preserve">The PSC Failed </w:t>
      </w:r>
      <w:r w:rsidR="00060C08" w:rsidRPr="00060C08">
        <w:t>to Apply § 96.5(k)</w:t>
      </w:r>
      <w:r>
        <w:t>.</w:t>
      </w:r>
      <w:bookmarkEnd w:id="127"/>
      <w:bookmarkEnd w:id="128"/>
      <w:bookmarkEnd w:id="129"/>
    </w:p>
    <w:p w14:paraId="36D72036" w14:textId="11D23EDA" w:rsidR="00060C08" w:rsidRPr="00060C08" w:rsidRDefault="00060C08" w:rsidP="00060C08">
      <w:pPr>
        <w:numPr>
          <w:ilvl w:val="0"/>
          <w:numId w:val="15"/>
        </w:numPr>
        <w:tabs>
          <w:tab w:val="clear" w:pos="720"/>
          <w:tab w:val="left" w:pos="1080"/>
        </w:tabs>
        <w:ind w:left="0" w:firstLine="540"/>
      </w:pPr>
      <w:r w:rsidRPr="00060C08">
        <w:t xml:space="preserve">Most critically, the PSC failed to apply § 96.5(k), which mandates specific findings whenever 20% or more of a building’s </w:t>
      </w:r>
      <w:r w:rsidRPr="00060C08">
        <w:lastRenderedPageBreak/>
        <w:t xml:space="preserve">tenants receive income-based housing assistance. </w:t>
      </w:r>
      <w:r w:rsidR="009C5178">
        <w:t xml:space="preserve"> </w:t>
      </w:r>
      <w:r w:rsidR="00C41124" w:rsidRPr="00C41124">
        <w:t>Section 96.5(k) requires the</w:t>
      </w:r>
      <w:r w:rsidR="00B9693A">
        <w:t xml:space="preserve"> PSC</w:t>
      </w:r>
      <w:r w:rsidR="00C41124" w:rsidRPr="00C41124">
        <w:t xml:space="preserve"> to: (1) determine the percentage of tenants receiving income-based housing assistance; (2) conduct a financial harm and affordability analysis specific to those tenants; and (3) identify and implement additional consumer protections, if necessary</w:t>
      </w:r>
      <w:r w:rsidRPr="00060C08">
        <w:t xml:space="preserve">. </w:t>
      </w:r>
      <w:r w:rsidR="009C5178">
        <w:t xml:space="preserve"> </w:t>
      </w:r>
      <w:r w:rsidRPr="00060C08">
        <w:t>None of these findings appear in the Order.</w:t>
      </w:r>
    </w:p>
    <w:p w14:paraId="75FB91D4" w14:textId="4755CFC5" w:rsidR="00060C08" w:rsidRPr="00060C08" w:rsidRDefault="00060C08" w:rsidP="00060C08">
      <w:pPr>
        <w:numPr>
          <w:ilvl w:val="0"/>
          <w:numId w:val="15"/>
        </w:numPr>
        <w:tabs>
          <w:tab w:val="clear" w:pos="720"/>
          <w:tab w:val="left" w:pos="1080"/>
        </w:tabs>
        <w:ind w:left="0" w:firstLine="540"/>
      </w:pPr>
      <w:r w:rsidRPr="00060C08">
        <w:t xml:space="preserve">This omission is especially egregious given the PSC’s own findings in 2011, which acknowledged that </w:t>
      </w:r>
      <w:r w:rsidR="009C5178">
        <w:t>the Affected Buildings</w:t>
      </w:r>
      <w:r w:rsidRPr="00060C08">
        <w:t xml:space="preserve"> had high percentages of Section 8 voucher holders. </w:t>
      </w:r>
      <w:r w:rsidR="009C5178">
        <w:t xml:space="preserve"> </w:t>
      </w:r>
      <w:r w:rsidR="007727CB" w:rsidRPr="007727CB">
        <w:t xml:space="preserve">At that time, 292 households were identified as receiving rental assistance, and other subject complexes had assisted-tenant rates ranging from 65% to 77%. </w:t>
      </w:r>
      <w:r w:rsidR="007727CB">
        <w:t>c</w:t>
      </w:r>
      <w:r w:rsidR="007727CB" w:rsidRPr="007727CB">
        <w:t xml:space="preserve">Given these figures, the current tenant population almost certainly meets or exceeds the 20% threshold. </w:t>
      </w:r>
      <w:r w:rsidR="007727CB">
        <w:t xml:space="preserve"> </w:t>
      </w:r>
      <w:r w:rsidR="007727CB" w:rsidRPr="007727CB">
        <w:t>The PSC’s failure even to mention §</w:t>
      </w:r>
      <w:r w:rsidR="007727CB" w:rsidRPr="007727CB">
        <w:rPr>
          <w:rFonts w:ascii="Cambria Math" w:hAnsi="Cambria Math" w:cs="Cambria Math"/>
        </w:rPr>
        <w:t> </w:t>
      </w:r>
      <w:r w:rsidR="007727CB" w:rsidRPr="007727CB">
        <w:t>96.5(k)</w:t>
      </w:r>
      <w:r w:rsidR="007727CB" w:rsidRPr="007727CB">
        <w:rPr>
          <w:rFonts w:cs="Calluna"/>
        </w:rPr>
        <w:t>—</w:t>
      </w:r>
      <w:r w:rsidR="007727CB" w:rsidRPr="007727CB">
        <w:t>let alone apply it</w:t>
      </w:r>
      <w:r w:rsidR="007727CB" w:rsidRPr="007727CB">
        <w:rPr>
          <w:rFonts w:cs="Calluna"/>
        </w:rPr>
        <w:t>—</w:t>
      </w:r>
      <w:r w:rsidR="007727CB" w:rsidRPr="007727CB">
        <w:t>is a reversible legal error.</w:t>
      </w:r>
    </w:p>
    <w:p w14:paraId="4F166687" w14:textId="3641BC6F" w:rsidR="00060C08" w:rsidRPr="00060C08" w:rsidRDefault="00060C08" w:rsidP="00060C08">
      <w:pPr>
        <w:numPr>
          <w:ilvl w:val="0"/>
          <w:numId w:val="15"/>
        </w:numPr>
        <w:tabs>
          <w:tab w:val="clear" w:pos="720"/>
          <w:tab w:val="left" w:pos="1080"/>
        </w:tabs>
        <w:ind w:left="0" w:firstLine="540"/>
      </w:pPr>
      <w:r w:rsidRPr="00060C08">
        <w:t xml:space="preserve">Section 96.5(k) was adopted precisely to safeguard subsidized and low-income tenants from being forced into unaffordable electricity costs. </w:t>
      </w:r>
      <w:r w:rsidR="00C8296C">
        <w:t xml:space="preserve"> </w:t>
      </w:r>
      <w:r w:rsidRPr="00060C08">
        <w:t>The PSC’s refusal to apply this protection in building</w:t>
      </w:r>
      <w:r w:rsidR="00C8296C">
        <w:t>s</w:t>
      </w:r>
      <w:r w:rsidRPr="00060C08">
        <w:t xml:space="preserve"> known to house hundreds of Section 8 families is not a minor oversight but a direct violation of the consumer-protection framework the agency itself created.</w:t>
      </w:r>
    </w:p>
    <w:p w14:paraId="6ECB3111" w14:textId="1D3EC7A0" w:rsidR="00DF0648" w:rsidRDefault="00F0301F" w:rsidP="00420036">
      <w:pPr>
        <w:pStyle w:val="Heading3"/>
      </w:pPr>
      <w:bookmarkStart w:id="130" w:name="_Toc207020518"/>
      <w:bookmarkStart w:id="131" w:name="_Toc207020580"/>
      <w:bookmarkStart w:id="132" w:name="_Toc207109688"/>
      <w:r>
        <w:t xml:space="preserve">The PSC Failed </w:t>
      </w:r>
      <w:r w:rsidR="00060C08" w:rsidRPr="00060C08">
        <w:t xml:space="preserve">to </w:t>
      </w:r>
      <w:r w:rsidR="005C3173">
        <w:t>Mandate</w:t>
      </w:r>
      <w:r w:rsidR="00060C08" w:rsidRPr="00060C08">
        <w:t xml:space="preserve"> Compliance with Part 96</w:t>
      </w:r>
      <w:r>
        <w:t>.</w:t>
      </w:r>
      <w:bookmarkEnd w:id="130"/>
      <w:bookmarkEnd w:id="131"/>
      <w:bookmarkEnd w:id="132"/>
    </w:p>
    <w:p w14:paraId="29683444" w14:textId="492C75A0" w:rsidR="00060C08" w:rsidRPr="00060C08" w:rsidRDefault="00060C08" w:rsidP="00060C08">
      <w:pPr>
        <w:numPr>
          <w:ilvl w:val="0"/>
          <w:numId w:val="15"/>
        </w:numPr>
        <w:tabs>
          <w:tab w:val="clear" w:pos="720"/>
          <w:tab w:val="left" w:pos="1080"/>
        </w:tabs>
        <w:ind w:left="0" w:firstLine="540"/>
      </w:pPr>
      <w:r w:rsidRPr="00060C08">
        <w:t xml:space="preserve">The Order also fails to </w:t>
      </w:r>
      <w:r w:rsidR="005C3173">
        <w:t>mandate</w:t>
      </w:r>
      <w:r w:rsidRPr="00060C08">
        <w:t xml:space="preserve"> compliance with other critical protections of Part 96, including: </w:t>
      </w:r>
      <w:r w:rsidR="008E0704">
        <w:t xml:space="preserve"> </w:t>
      </w:r>
      <w:r w:rsidRPr="00060C08">
        <w:t xml:space="preserve">the rate cap; HEFPA </w:t>
      </w:r>
      <w:r w:rsidRPr="00060C08">
        <w:lastRenderedPageBreak/>
        <w:t>compliance planning; tenant notification before and after petition filing; and an explanation of rent-reduction mechanics.</w:t>
      </w:r>
    </w:p>
    <w:p w14:paraId="4578C8AA" w14:textId="4A0B6920" w:rsidR="008E0704" w:rsidRDefault="00060C08" w:rsidP="008E0704">
      <w:pPr>
        <w:numPr>
          <w:ilvl w:val="0"/>
          <w:numId w:val="15"/>
        </w:numPr>
        <w:tabs>
          <w:tab w:val="clear" w:pos="720"/>
          <w:tab w:val="left" w:pos="1080"/>
        </w:tabs>
        <w:ind w:left="0" w:firstLine="540"/>
      </w:pPr>
      <w:r w:rsidRPr="00060C08">
        <w:t xml:space="preserve">Instead, the Order </w:t>
      </w:r>
      <w:r w:rsidR="00A64073" w:rsidRPr="00A64073">
        <w:t>refers vaguely to tenant education and energy audits, yet provides no documentation or findings to demonstrate that the technical and legal prerequisites of Part 96 have been met</w:t>
      </w:r>
      <w:r w:rsidRPr="00060C08">
        <w:t>.</w:t>
      </w:r>
    </w:p>
    <w:p w14:paraId="2821E666" w14:textId="3790A9B4" w:rsidR="008E0704" w:rsidRDefault="00060C08" w:rsidP="00420036">
      <w:pPr>
        <w:pStyle w:val="Heading3"/>
      </w:pPr>
      <w:bookmarkStart w:id="133" w:name="_Toc207020519"/>
      <w:bookmarkStart w:id="134" w:name="_Toc207020581"/>
      <w:bookmarkStart w:id="135" w:name="_Toc207109689"/>
      <w:r w:rsidRPr="00060C08">
        <w:t>Conclusion</w:t>
      </w:r>
      <w:r w:rsidR="008E0704">
        <w:t>.</w:t>
      </w:r>
      <w:bookmarkEnd w:id="133"/>
      <w:bookmarkEnd w:id="134"/>
      <w:bookmarkEnd w:id="135"/>
    </w:p>
    <w:p w14:paraId="1AC6C0F5" w14:textId="0BE4EE35" w:rsidR="00060C08" w:rsidRPr="00060C08" w:rsidRDefault="00FF49B3" w:rsidP="008E0704">
      <w:pPr>
        <w:numPr>
          <w:ilvl w:val="0"/>
          <w:numId w:val="15"/>
        </w:numPr>
        <w:tabs>
          <w:tab w:val="clear" w:pos="720"/>
          <w:tab w:val="left" w:pos="1080"/>
        </w:tabs>
        <w:ind w:left="0" w:firstLine="540"/>
      </w:pPr>
      <w:r w:rsidRPr="00FF49B3">
        <w:t>These cumulative omissions deprive tenants of the protections guaranteed by law and reflect a systemic failure to evaluate the 2024 submetering proposal under the applicable regulatory framework.</w:t>
      </w:r>
      <w:r>
        <w:t xml:space="preserve"> </w:t>
      </w:r>
      <w:r w:rsidRPr="00FF49B3">
        <w:t xml:space="preserve"> Without the required findings, notices, and analytical determinations, the PSC’s Order lacks a lawful foundation and must be vacated</w:t>
      </w:r>
      <w:r w:rsidR="00060C08" w:rsidRPr="00060C08">
        <w:t xml:space="preserve">. </w:t>
      </w:r>
      <w:r w:rsidR="007E1FA7">
        <w:t xml:space="preserve"> </w:t>
      </w:r>
    </w:p>
    <w:p w14:paraId="6AEAA3DE" w14:textId="79DA5AB5" w:rsidR="00D22C27" w:rsidRPr="00D22C27" w:rsidRDefault="00D22C27" w:rsidP="00D22C27">
      <w:pPr>
        <w:pStyle w:val="Heading2"/>
      </w:pPr>
      <w:bookmarkStart w:id="136" w:name="_Toc207020520"/>
      <w:bookmarkStart w:id="137" w:name="_Toc207020582"/>
      <w:bookmarkStart w:id="138" w:name="_Toc207109690"/>
      <w:r w:rsidRPr="00D22C27">
        <w:t xml:space="preserve">The Landlord’s Submetering </w:t>
      </w:r>
      <w:r w:rsidR="00132B60">
        <w:t xml:space="preserve">Plan is a Profit-Making </w:t>
      </w:r>
      <w:r w:rsidRPr="00D22C27">
        <w:t>Scheme</w:t>
      </w:r>
      <w:r w:rsidR="00132B60">
        <w:t>.</w:t>
      </w:r>
      <w:bookmarkEnd w:id="136"/>
      <w:bookmarkEnd w:id="137"/>
      <w:bookmarkEnd w:id="138"/>
    </w:p>
    <w:p w14:paraId="3117DCE0" w14:textId="77777777" w:rsidR="0027012D" w:rsidRDefault="003F254D" w:rsidP="009146E4">
      <w:pPr>
        <w:numPr>
          <w:ilvl w:val="0"/>
          <w:numId w:val="15"/>
        </w:numPr>
        <w:tabs>
          <w:tab w:val="clear" w:pos="720"/>
          <w:tab w:val="left" w:pos="1080"/>
        </w:tabs>
        <w:ind w:left="0" w:firstLine="540"/>
      </w:pPr>
      <w:r>
        <w:t>The landlord’s submetering plan is not a conservation measure but a scheme to extract extraordinary profits from low-</w:t>
      </w:r>
      <w:r w:rsidR="0064067D">
        <w:t xml:space="preserve"> and</w:t>
      </w:r>
      <w:r>
        <w:t xml:space="preserve"> middle-income tenants. </w:t>
      </w:r>
    </w:p>
    <w:p w14:paraId="52FCE302" w14:textId="42982DC4" w:rsidR="009146E4" w:rsidRDefault="003F254D" w:rsidP="009146E4">
      <w:pPr>
        <w:numPr>
          <w:ilvl w:val="0"/>
          <w:numId w:val="15"/>
        </w:numPr>
        <w:tabs>
          <w:tab w:val="clear" w:pos="720"/>
          <w:tab w:val="left" w:pos="1080"/>
        </w:tabs>
        <w:ind w:left="0" w:firstLine="540"/>
      </w:pPr>
      <w:r>
        <w:t xml:space="preserve">According to his own filings, he purchases electricity in bulk from Con Edison at wholesale rates of $0.12–$0.18 per kilowatt-hour (“kWh”), and </w:t>
      </w:r>
      <w:r w:rsidR="00FF49B3">
        <w:t xml:space="preserve">will resell </w:t>
      </w:r>
      <w:r>
        <w:t xml:space="preserve">it to tenants at $0.32–$0.38 per kWh — a markup of 78% to 216%. </w:t>
      </w:r>
      <w:r w:rsidRPr="00A669E4">
        <w:rPr>
          <w:i/>
          <w:iCs/>
        </w:rPr>
        <w:t>See</w:t>
      </w:r>
      <w:r>
        <w:t xml:space="preserve"> DMM Item No. 163, Ex. 5; DMM Item No. 164, pp. 6–7.</w:t>
      </w:r>
    </w:p>
    <w:p w14:paraId="330F1377" w14:textId="03B01F53" w:rsidR="00D565F5" w:rsidRDefault="00540BC8" w:rsidP="009146E4">
      <w:pPr>
        <w:numPr>
          <w:ilvl w:val="0"/>
          <w:numId w:val="15"/>
        </w:numPr>
        <w:tabs>
          <w:tab w:val="clear" w:pos="720"/>
          <w:tab w:val="left" w:pos="1080"/>
        </w:tabs>
        <w:ind w:left="0" w:firstLine="540"/>
      </w:pPr>
      <w:r w:rsidRPr="00540BC8">
        <w:lastRenderedPageBreak/>
        <w:t>This markup violates 16 NYCRR § 96.1(i), which prohibits charging submetered tenants more than similarly situated direct-metered residential customers—known as SC-1 customers—under Con Edison’s residential tariff in East Harlem and Roosevelt Island</w:t>
      </w:r>
      <w:r w:rsidR="00D565F5">
        <w:t>.</w:t>
      </w:r>
      <w:r w:rsidR="003F254D">
        <w:t xml:space="preserve"> </w:t>
      </w:r>
      <w:r w:rsidR="009146E4">
        <w:t xml:space="preserve"> </w:t>
      </w:r>
    </w:p>
    <w:p w14:paraId="4AB0987D" w14:textId="410ED58B" w:rsidR="00D467EA" w:rsidRDefault="00A21F06" w:rsidP="009146E4">
      <w:pPr>
        <w:numPr>
          <w:ilvl w:val="0"/>
          <w:numId w:val="15"/>
        </w:numPr>
        <w:tabs>
          <w:tab w:val="clear" w:pos="720"/>
          <w:tab w:val="left" w:pos="1080"/>
        </w:tabs>
        <w:ind w:left="0" w:firstLine="540"/>
      </w:pPr>
      <w:r w:rsidRPr="00A21F06">
        <w:t xml:space="preserve">The first step in reviewing </w:t>
      </w:r>
      <w:r>
        <w:t xml:space="preserve">the Landlord’s </w:t>
      </w:r>
      <w:r w:rsidRPr="00A21F06">
        <w:t>submetering petition</w:t>
      </w:r>
      <w:r>
        <w:t xml:space="preserve"> should have been to </w:t>
      </w:r>
      <w:r w:rsidRPr="00A21F06">
        <w:t xml:space="preserve">determine the applicable SC-1 residential tariff and set that amount as a rate cap. </w:t>
      </w:r>
      <w:r>
        <w:t xml:space="preserve"> </w:t>
      </w:r>
      <w:r w:rsidR="00D467EA">
        <w:t>But this wa</w:t>
      </w:r>
      <w:r w:rsidR="00540BC8">
        <w:t xml:space="preserve">s </w:t>
      </w:r>
      <w:r w:rsidR="00D467EA">
        <w:t>never done</w:t>
      </w:r>
      <w:r w:rsidR="0080373B">
        <w:t xml:space="preserve"> </w:t>
      </w:r>
      <w:r w:rsidR="0080373B" w:rsidRPr="0080373B">
        <w:t>in direct violation of § 96.1(i)</w:t>
      </w:r>
      <w:r w:rsidR="00D467EA">
        <w:t>.</w:t>
      </w:r>
    </w:p>
    <w:p w14:paraId="4C69912B" w14:textId="21E72706" w:rsidR="00313CAB" w:rsidRDefault="0080373B" w:rsidP="009146E4">
      <w:pPr>
        <w:numPr>
          <w:ilvl w:val="0"/>
          <w:numId w:val="15"/>
        </w:numPr>
        <w:tabs>
          <w:tab w:val="clear" w:pos="720"/>
          <w:tab w:val="left" w:pos="1080"/>
        </w:tabs>
        <w:ind w:left="0" w:firstLine="540"/>
      </w:pPr>
      <w:r w:rsidRPr="0080373B">
        <w:t>In East Harlem, the SC-1 residential rate is approximately $0.22 per kWh—substantially lower than the $0.32–$0.38 per kWh authorized by the PSC in this proceeding</w:t>
      </w:r>
      <w:r w:rsidR="00A21F06" w:rsidRPr="00A21F06">
        <w:t xml:space="preserve">. </w:t>
      </w:r>
      <w:r w:rsidR="00A21F06">
        <w:t xml:space="preserve"> </w:t>
      </w:r>
    </w:p>
    <w:p w14:paraId="71CFD017" w14:textId="6B06B86C" w:rsidR="00A21F06" w:rsidRDefault="009C461A" w:rsidP="009146E4">
      <w:pPr>
        <w:numPr>
          <w:ilvl w:val="0"/>
          <w:numId w:val="15"/>
        </w:numPr>
        <w:tabs>
          <w:tab w:val="clear" w:pos="720"/>
          <w:tab w:val="left" w:pos="1080"/>
        </w:tabs>
        <w:ind w:left="0" w:firstLine="540"/>
      </w:pPr>
      <w:r w:rsidRPr="009C461A">
        <w:t>The PSC made no finding of the applicable SC-1 rate, no showing of compliance with § 96.1(i), and no effort to establish a rate cap—departing from its own rules, procedures, and precedent</w:t>
      </w:r>
      <w:r w:rsidR="00A21F06" w:rsidRPr="00A21F06">
        <w:t>.</w:t>
      </w:r>
    </w:p>
    <w:p w14:paraId="3CBF7888" w14:textId="77777777" w:rsidR="005C1258" w:rsidRDefault="005C1258" w:rsidP="00BC4780">
      <w:pPr>
        <w:numPr>
          <w:ilvl w:val="0"/>
          <w:numId w:val="15"/>
        </w:numPr>
        <w:tabs>
          <w:tab w:val="clear" w:pos="720"/>
          <w:tab w:val="left" w:pos="1080"/>
        </w:tabs>
        <w:ind w:left="0" w:firstLine="540"/>
      </w:pPr>
      <w:r w:rsidRPr="005C1258">
        <w:t>The Landlord projects submetering will generate approximately $1.8 million in annual profit. See DMM Item No. 163, Ex. 5. That figure, drawn from the Landlord’s own filings, likely understates his true profit, but it establishes that his scheme is designed to produce recurring private income for himself, rather than promote any conservation benefits. This projection also omits indirect gains, such as shifting utility cost burdens off the Landlord and onto public housing subsidies.</w:t>
      </w:r>
    </w:p>
    <w:p w14:paraId="4B7FE678" w14:textId="29A1BC3F" w:rsidR="004661FA" w:rsidRDefault="003F254D" w:rsidP="00BC4780">
      <w:pPr>
        <w:numPr>
          <w:ilvl w:val="0"/>
          <w:numId w:val="15"/>
        </w:numPr>
        <w:tabs>
          <w:tab w:val="clear" w:pos="720"/>
          <w:tab w:val="left" w:pos="1080"/>
        </w:tabs>
        <w:ind w:left="0" w:firstLine="540"/>
      </w:pPr>
      <w:r>
        <w:t>The burden on tenants and taxpayers is far greater</w:t>
      </w:r>
      <w:r w:rsidR="00B03878">
        <w:t>, and was never considered by the PSC</w:t>
      </w:r>
      <w:r>
        <w:t xml:space="preserve">. </w:t>
      </w:r>
      <w:r w:rsidR="005C3D3B">
        <w:t xml:space="preserve"> </w:t>
      </w:r>
      <w:r>
        <w:t xml:space="preserve">Based on </w:t>
      </w:r>
      <w:r w:rsidR="005C3D3B">
        <w:t xml:space="preserve">recent </w:t>
      </w:r>
      <w:r>
        <w:t xml:space="preserve">affirmations and </w:t>
      </w:r>
      <w:r>
        <w:lastRenderedPageBreak/>
        <w:t xml:space="preserve">tenant data, between 30% and 50% of households in the affected buildings receive Section 8 or other rental assistance. </w:t>
      </w:r>
      <w:r w:rsidR="005C3D3B">
        <w:t xml:space="preserve"> </w:t>
      </w:r>
    </w:p>
    <w:p w14:paraId="3B757903" w14:textId="31EF7C4A" w:rsidR="00BC4780" w:rsidRDefault="003F254D" w:rsidP="00BC4780">
      <w:pPr>
        <w:numPr>
          <w:ilvl w:val="0"/>
          <w:numId w:val="15"/>
        </w:numPr>
        <w:tabs>
          <w:tab w:val="clear" w:pos="720"/>
          <w:tab w:val="left" w:pos="1080"/>
        </w:tabs>
        <w:ind w:left="0" w:firstLine="540"/>
      </w:pPr>
      <w:r>
        <w:t xml:space="preserve">At </w:t>
      </w:r>
      <w:r w:rsidR="005C3D3B">
        <w:t xml:space="preserve">the Landlord’s </w:t>
      </w:r>
      <w:r>
        <w:t>inflated rates</w:t>
      </w:r>
      <w:r w:rsidR="005C3D3B">
        <w:t xml:space="preserve"> for electricity</w:t>
      </w:r>
      <w:r>
        <w:t>, federal subsidy payments are estimated to increase by $</w:t>
      </w:r>
      <w:r w:rsidR="00A50253">
        <w:t xml:space="preserve">1.1 </w:t>
      </w:r>
      <w:r>
        <w:t xml:space="preserve">million per month </w:t>
      </w:r>
      <w:r w:rsidR="005C3D3B">
        <w:t xml:space="preserve">just for electricity </w:t>
      </w:r>
      <w:r>
        <w:t xml:space="preserve">— more than $10 million annually — without </w:t>
      </w:r>
      <w:r w:rsidR="00A50253">
        <w:t xml:space="preserve">any </w:t>
      </w:r>
      <w:r>
        <w:t>regulatory scrutiny</w:t>
      </w:r>
      <w:r w:rsidR="00A50253">
        <w:t xml:space="preserve"> or oversight</w:t>
      </w:r>
      <w:r>
        <w:t xml:space="preserve">. </w:t>
      </w:r>
      <w:r w:rsidR="00A50253">
        <w:t xml:space="preserve"> </w:t>
      </w:r>
      <w:r>
        <w:t xml:space="preserve">The landlord holds complete voucher data, verified with HPD, DHCR, and HUD, yet the PSC never inquired into the impact </w:t>
      </w:r>
      <w:r w:rsidR="00F615B7">
        <w:t xml:space="preserve">the proposed electricity rates would have </w:t>
      </w:r>
      <w:r>
        <w:t>on tenants or taxpayers.</w:t>
      </w:r>
    </w:p>
    <w:p w14:paraId="2E2EC53E" w14:textId="77777777" w:rsidR="00066683" w:rsidRDefault="003F254D" w:rsidP="00BC4780">
      <w:pPr>
        <w:numPr>
          <w:ilvl w:val="0"/>
          <w:numId w:val="15"/>
        </w:numPr>
        <w:tabs>
          <w:tab w:val="clear" w:pos="720"/>
          <w:tab w:val="left" w:pos="1080"/>
        </w:tabs>
        <w:ind w:left="0" w:firstLine="540"/>
      </w:pPr>
      <w:r>
        <w:t xml:space="preserve">The financial consequences for tenants are extreme. </w:t>
      </w:r>
      <w:r w:rsidR="00E06182">
        <w:t xml:space="preserve"> </w:t>
      </w:r>
      <w:r>
        <w:t>Shadow bills from 2009 showed electric charges of $300 to $1,200 per month</w:t>
      </w:r>
      <w:r w:rsidR="000D5CDC">
        <w:t xml:space="preserve"> (the last time tenants received shadow bills)</w:t>
      </w:r>
      <w:r>
        <w:t xml:space="preserve">; adjusted for sixteen years of inflation, equals $441 to $1,765 in 2025 — eviction-level costs. </w:t>
      </w:r>
    </w:p>
    <w:p w14:paraId="31585D7A" w14:textId="5351A7A6" w:rsidR="00BC4780" w:rsidRDefault="003F254D" w:rsidP="00BC4780">
      <w:pPr>
        <w:numPr>
          <w:ilvl w:val="0"/>
          <w:numId w:val="15"/>
        </w:numPr>
        <w:tabs>
          <w:tab w:val="clear" w:pos="720"/>
          <w:tab w:val="left" w:pos="1080"/>
        </w:tabs>
        <w:ind w:left="0" w:firstLine="540"/>
      </w:pPr>
      <w:r>
        <w:t xml:space="preserve">Governor Kathy Hochul recently called an 11.4% Con Edison rate hike “unaffordable.” </w:t>
      </w:r>
      <w:r w:rsidR="00066683">
        <w:t xml:space="preserve"> </w:t>
      </w:r>
      <w:r>
        <w:t>Here, the PSC approved a scheme that multiplies tenant electricity costs several times over, in direct violation of its mandate to ensure affordability.</w:t>
      </w:r>
    </w:p>
    <w:p w14:paraId="3722E5DB" w14:textId="0C43548C" w:rsidR="00BC4780" w:rsidRDefault="003F254D" w:rsidP="00BC4780">
      <w:pPr>
        <w:numPr>
          <w:ilvl w:val="0"/>
          <w:numId w:val="15"/>
        </w:numPr>
        <w:tabs>
          <w:tab w:val="clear" w:pos="720"/>
          <w:tab w:val="left" w:pos="1080"/>
        </w:tabs>
        <w:ind w:left="0" w:firstLine="540"/>
      </w:pPr>
      <w:r>
        <w:t xml:space="preserve">The PSC approved this plan without imposing a rate cap, requiring a compliant pricing plan, or conducting the hardship and affordability analyses mandated by Part 96. </w:t>
      </w:r>
      <w:r w:rsidR="0059342E">
        <w:t xml:space="preserve"> </w:t>
      </w:r>
      <w:r>
        <w:t xml:space="preserve">These omissions violate 16 NYCRR §§ 96.1(i), 96.5(l)(3), and 96.5(k), as well as PSL § 65, and are arbitrary and capricious under settled law. </w:t>
      </w:r>
      <w:r w:rsidRPr="0059342E">
        <w:rPr>
          <w:i/>
          <w:iCs/>
        </w:rPr>
        <w:t xml:space="preserve">See </w:t>
      </w:r>
      <w:r w:rsidRPr="0059342E">
        <w:rPr>
          <w:i/>
          <w:iCs/>
        </w:rPr>
        <w:lastRenderedPageBreak/>
        <w:t>Matter of Charles A. Field Delivery Serv., Inc. v. Roberts</w:t>
      </w:r>
      <w:r>
        <w:t>, 66 N.Y.2d 516, 520 (1985).</w:t>
      </w:r>
    </w:p>
    <w:p w14:paraId="3DA1E215" w14:textId="77777777" w:rsidR="007922A9" w:rsidRDefault="003F254D" w:rsidP="00197D5C">
      <w:pPr>
        <w:numPr>
          <w:ilvl w:val="0"/>
          <w:numId w:val="15"/>
        </w:numPr>
        <w:tabs>
          <w:tab w:val="clear" w:pos="720"/>
          <w:tab w:val="left" w:pos="1080"/>
        </w:tabs>
        <w:ind w:left="0" w:firstLine="540"/>
      </w:pPr>
      <w:r>
        <w:t xml:space="preserve">The 2025 Order thus permits the landlord to act as an unregulated utility, extracting millions in private profit while shifting tens of millions of dollars in costs onto low-income tenants and taxpayers, without providing functional heating, energy efficiency, or rent offsets. </w:t>
      </w:r>
    </w:p>
    <w:p w14:paraId="34998FE7" w14:textId="5FA7A641" w:rsidR="00197D5C" w:rsidRDefault="007922A9" w:rsidP="00197D5C">
      <w:pPr>
        <w:numPr>
          <w:ilvl w:val="0"/>
          <w:numId w:val="15"/>
        </w:numPr>
        <w:tabs>
          <w:tab w:val="clear" w:pos="720"/>
          <w:tab w:val="left" w:pos="1080"/>
        </w:tabs>
        <w:ind w:left="0" w:firstLine="540"/>
      </w:pPr>
      <w:r w:rsidRPr="007922A9">
        <w:t>The Order must be vacated—or at minimum, remanded for a full evidentiary rehearing requiring a lawful rate cap, a current financial harm analysis under § 96.5(l)(3), and full compliance with all procedural and substantive protections in Part 96.</w:t>
      </w:r>
      <w:r w:rsidR="003F254D">
        <w:t>.</w:t>
      </w:r>
    </w:p>
    <w:p w14:paraId="4675C428" w14:textId="631230FC" w:rsidR="00A32A8D" w:rsidRDefault="00197D5C" w:rsidP="00313CAB">
      <w:pPr>
        <w:pStyle w:val="Heading2"/>
      </w:pPr>
      <w:bookmarkStart w:id="139" w:name="_Toc207020521"/>
      <w:bookmarkStart w:id="140" w:name="_Toc207020583"/>
      <w:bookmarkStart w:id="141" w:name="_Toc207109691"/>
      <w:r>
        <w:t>The Landlord Concealed the Regulatory Agreement</w:t>
      </w:r>
      <w:r w:rsidR="00313CAB">
        <w:t>s</w:t>
      </w:r>
      <w:r>
        <w:t xml:space="preserve"> </w:t>
      </w:r>
      <w:r w:rsidR="00242BDB">
        <w:t>from the PSC</w:t>
      </w:r>
      <w:bookmarkEnd w:id="139"/>
      <w:bookmarkEnd w:id="140"/>
      <w:bookmarkEnd w:id="141"/>
    </w:p>
    <w:p w14:paraId="5CF6B2D0" w14:textId="1FFA34A7" w:rsidR="00B82C34" w:rsidRDefault="00B82C34" w:rsidP="00B82C34">
      <w:pPr>
        <w:numPr>
          <w:ilvl w:val="0"/>
          <w:numId w:val="15"/>
        </w:numPr>
        <w:tabs>
          <w:tab w:val="clear" w:pos="720"/>
          <w:tab w:val="left" w:pos="1080"/>
        </w:tabs>
        <w:ind w:left="0" w:firstLine="540"/>
      </w:pPr>
      <w:r>
        <w:t xml:space="preserve">In 2019, when he purchased the Affected Buildings, the </w:t>
      </w:r>
      <w:r w:rsidR="0047480D">
        <w:t>L</w:t>
      </w:r>
      <w:r>
        <w:t xml:space="preserve">andlord entered into binding Regulatory Agreements with the City of New York and HPD. These agreements generally require that a substantial percentage of units be treated “as if” rent-stabilized — meaning rent increases must </w:t>
      </w:r>
      <w:r w:rsidR="00697C17">
        <w:t>track</w:t>
      </w:r>
      <w:r w:rsidR="0047480D">
        <w:t xml:space="preserve"> </w:t>
      </w:r>
      <w:r>
        <w:t>those set by the Rent Guidelines Board (RGB) — in exchange for tax benefits estimated at $3–5 million per year per complex.</w:t>
      </w:r>
    </w:p>
    <w:p w14:paraId="27B450A1" w14:textId="073702DB" w:rsidR="00B82C34" w:rsidRDefault="00B82C34" w:rsidP="00B82C34">
      <w:pPr>
        <w:numPr>
          <w:ilvl w:val="0"/>
          <w:numId w:val="15"/>
        </w:numPr>
        <w:tabs>
          <w:tab w:val="clear" w:pos="720"/>
          <w:tab w:val="left" w:pos="1080"/>
        </w:tabs>
        <w:ind w:left="0" w:firstLine="540"/>
      </w:pPr>
      <w:r>
        <w:t>These obligations create enforceable affordability protections</w:t>
      </w:r>
      <w:r w:rsidR="0047480D">
        <w:t>, but t</w:t>
      </w:r>
      <w:r>
        <w:t xml:space="preserve">he </w:t>
      </w:r>
      <w:r w:rsidR="0047480D">
        <w:t>L</w:t>
      </w:r>
      <w:r>
        <w:t>andlord failed to disclose these obligations to the PSC and, upon information and belief, has not complied with the affordability commitments he made under the agreements.</w:t>
      </w:r>
    </w:p>
    <w:p w14:paraId="2687B8A5" w14:textId="77B5A1FE" w:rsidR="00B82C34" w:rsidRDefault="0089132F" w:rsidP="00B82C34">
      <w:pPr>
        <w:numPr>
          <w:ilvl w:val="0"/>
          <w:numId w:val="15"/>
        </w:numPr>
        <w:tabs>
          <w:tab w:val="clear" w:pos="720"/>
          <w:tab w:val="left" w:pos="1080"/>
        </w:tabs>
        <w:ind w:left="0" w:firstLine="540"/>
      </w:pPr>
      <w:r w:rsidRPr="0089132F">
        <w:lastRenderedPageBreak/>
        <w:t>As a result of this non-disclosure, the PSC was unable to evaluate the landlord’s binding obligation not to raise rents above rent-stabilized limits, nor his apparent breach of those obligations, when reviewing the submetering petition</w:t>
      </w:r>
      <w:r w:rsidR="00B82C34">
        <w:t>.</w:t>
      </w:r>
    </w:p>
    <w:p w14:paraId="3016E21C" w14:textId="4E992907" w:rsidR="00B82C34" w:rsidRDefault="00942974" w:rsidP="00B82C34">
      <w:pPr>
        <w:numPr>
          <w:ilvl w:val="0"/>
          <w:numId w:val="15"/>
        </w:numPr>
        <w:tabs>
          <w:tab w:val="clear" w:pos="720"/>
          <w:tab w:val="left" w:pos="1080"/>
        </w:tabs>
        <w:ind w:left="0" w:firstLine="540"/>
      </w:pPr>
      <w:r w:rsidRPr="00942974">
        <w:t>Despite the obvious relevance of these agreements to whether submetering is affordable or lawful, the landlord omitted them entirely from his 2024 petition. Nor did he inform the PSC of the conflict between shifting essential heating and cooling costs to tenants and his obligation to preserve affordability under the agreements. This omission deprived the PSC of critical information and left it with an incomplete and misleading record</w:t>
      </w:r>
      <w:r w:rsidR="00B82C34">
        <w:t>.</w:t>
      </w:r>
    </w:p>
    <w:p w14:paraId="40572570" w14:textId="4D6B209B" w:rsidR="00B82C34" w:rsidRDefault="00437B95" w:rsidP="00B82C34">
      <w:pPr>
        <w:numPr>
          <w:ilvl w:val="0"/>
          <w:numId w:val="15"/>
        </w:numPr>
        <w:tabs>
          <w:tab w:val="clear" w:pos="720"/>
          <w:tab w:val="left" w:pos="1080"/>
        </w:tabs>
        <w:ind w:left="0" w:firstLine="540"/>
      </w:pPr>
      <w:r w:rsidRPr="00437B95">
        <w:t xml:space="preserve">The 2025 Order contains no findings on how submetering can be reconciled with the affordability mandates in the Regulatory Agreements. Under the landlord’s plan—approved by the PSC—essential electricity costs are transferred to tenants in a manner functionally equivalent to a rent increase, in direct conflict with his obligation to follow RGB limits. </w:t>
      </w:r>
      <w:r>
        <w:t xml:space="preserve"> </w:t>
      </w:r>
      <w:r w:rsidR="00E86620">
        <w:t>A</w:t>
      </w:r>
      <w:r w:rsidRPr="00437B95">
        <w:t>cross the affected buildings, approximately 1,600 units are supposed to be treated as rent-stabilized, yet the PSC never addressed how submetering undermines those protections</w:t>
      </w:r>
      <w:r w:rsidR="00B82C34">
        <w:t>.</w:t>
      </w:r>
    </w:p>
    <w:p w14:paraId="7C3846CA" w14:textId="156C1E74" w:rsidR="00B82C34" w:rsidRDefault="001477F6" w:rsidP="00B82C34">
      <w:pPr>
        <w:numPr>
          <w:ilvl w:val="0"/>
          <w:numId w:val="15"/>
        </w:numPr>
        <w:tabs>
          <w:tab w:val="clear" w:pos="720"/>
          <w:tab w:val="left" w:pos="1080"/>
        </w:tabs>
        <w:ind w:left="0" w:firstLine="540"/>
      </w:pPr>
      <w:r w:rsidRPr="001477F6">
        <w:t xml:space="preserve">Part 96 prohibits submetering approval unless a property complies with all applicable housing laws. By allowing submetering while ignoring binding affordability restrictions, the PSC </w:t>
      </w:r>
      <w:r w:rsidRPr="001477F6">
        <w:lastRenderedPageBreak/>
        <w:t>effectively converted Part 96 from a tenant-protection framework into a vehicle for evasion</w:t>
      </w:r>
      <w:r w:rsidR="00B82C34">
        <w:t>.</w:t>
      </w:r>
    </w:p>
    <w:p w14:paraId="6824CBD1" w14:textId="77777777" w:rsidR="009E4929" w:rsidRDefault="00B82C34" w:rsidP="009E4929">
      <w:pPr>
        <w:numPr>
          <w:ilvl w:val="0"/>
          <w:numId w:val="15"/>
        </w:numPr>
        <w:tabs>
          <w:tab w:val="clear" w:pos="720"/>
          <w:tab w:val="left" w:pos="1080"/>
        </w:tabs>
        <w:ind w:left="0" w:firstLine="540"/>
      </w:pPr>
      <w:r>
        <w:t>Because the 2025 Order was issued on a materially incomplete record, without disclosure or analysis of the 2019 Regulatory Agreements, it is arbitrary, capricious, and unlawful, and must be vacated.</w:t>
      </w:r>
    </w:p>
    <w:p w14:paraId="620CE03F" w14:textId="55ECD058" w:rsidR="009E4929" w:rsidRDefault="00242BDB" w:rsidP="008C45A6">
      <w:pPr>
        <w:pStyle w:val="Heading2"/>
      </w:pPr>
      <w:bookmarkStart w:id="142" w:name="_Toc207020522"/>
      <w:bookmarkStart w:id="143" w:name="_Toc207020584"/>
      <w:bookmarkStart w:id="144" w:name="_Toc207109692"/>
      <w:r>
        <w:t>The</w:t>
      </w:r>
      <w:r w:rsidR="00FE71A5">
        <w:t xml:space="preserve"> Landlord</w:t>
      </w:r>
      <w:r>
        <w:t xml:space="preserve"> Is Unfit</w:t>
      </w:r>
      <w:r w:rsidR="00FE71A5">
        <w:t xml:space="preserve"> to </w:t>
      </w:r>
      <w:r>
        <w:t xml:space="preserve">Be a </w:t>
      </w:r>
      <w:r w:rsidR="00FE71A5">
        <w:t>Submeter</w:t>
      </w:r>
      <w:r>
        <w:t>er</w:t>
      </w:r>
      <w:bookmarkEnd w:id="142"/>
      <w:bookmarkEnd w:id="143"/>
      <w:bookmarkEnd w:id="144"/>
    </w:p>
    <w:p w14:paraId="2A65D4D3" w14:textId="1CF9D159" w:rsidR="00434059" w:rsidRDefault="00434059" w:rsidP="00434059">
      <w:pPr>
        <w:numPr>
          <w:ilvl w:val="0"/>
          <w:numId w:val="15"/>
        </w:numPr>
        <w:tabs>
          <w:tab w:val="clear" w:pos="720"/>
          <w:tab w:val="left" w:pos="1080"/>
        </w:tabs>
        <w:ind w:left="0" w:firstLine="540"/>
      </w:pPr>
      <w:r>
        <w:t xml:space="preserve">The PSC dismissed tenant habitability complaints as “outside its jurisdiction.” </w:t>
      </w:r>
      <w:r w:rsidRPr="00417F94">
        <w:rPr>
          <w:i/>
          <w:iCs/>
        </w:rPr>
        <w:t>See</w:t>
      </w:r>
      <w:r>
        <w:t xml:space="preserve"> 2025 Order at 23. </w:t>
      </w:r>
      <w:r w:rsidR="00137561">
        <w:t xml:space="preserve"> </w:t>
      </w:r>
      <w:r>
        <w:t xml:space="preserve">That framing misstates the issue. </w:t>
      </w:r>
      <w:r w:rsidR="00137561">
        <w:t xml:space="preserve"> </w:t>
      </w:r>
      <w:r>
        <w:t xml:space="preserve">Tenants did not ask the PSC to order repairs. </w:t>
      </w:r>
      <w:r w:rsidR="00137561">
        <w:t xml:space="preserve"> </w:t>
      </w:r>
      <w:r>
        <w:t xml:space="preserve">They asked the PSC to deny submetering authority to a landlord demonstrably unfit to assume it. </w:t>
      </w:r>
      <w:r w:rsidR="000358FB">
        <w:t xml:space="preserve"> </w:t>
      </w:r>
      <w:r>
        <w:t>Submetering is not a mere billing change; it entrusts a landlord with responsibilities akin to a utility provider</w:t>
      </w:r>
      <w:r w:rsidR="000358FB">
        <w:t>, with power to set electricity rates</w:t>
      </w:r>
      <w:r>
        <w:t xml:space="preserve">. </w:t>
      </w:r>
      <w:r w:rsidR="000358FB">
        <w:t xml:space="preserve"> </w:t>
      </w:r>
      <w:r>
        <w:t>A landlord in chronic breach of the warranty of habitability cannot be entrusted with that role.</w:t>
      </w:r>
    </w:p>
    <w:p w14:paraId="60389A61" w14:textId="430C4021" w:rsidR="00434059" w:rsidRDefault="00B71283" w:rsidP="00434059">
      <w:pPr>
        <w:numPr>
          <w:ilvl w:val="0"/>
          <w:numId w:val="15"/>
        </w:numPr>
        <w:tabs>
          <w:tab w:val="clear" w:pos="720"/>
          <w:tab w:val="left" w:pos="1080"/>
        </w:tabs>
        <w:ind w:left="0" w:firstLine="540"/>
      </w:pPr>
      <w:r w:rsidRPr="00B71283">
        <w:t xml:space="preserve">In </w:t>
      </w:r>
      <w:r w:rsidR="001148BE">
        <w:t>explaining its decision</w:t>
      </w:r>
      <w:r w:rsidRPr="00B71283">
        <w:t xml:space="preserve">, the PSC employed a straw man fallacy—misstating the issue as a request for repairs, then dismissing it as outside its jurisdiction. </w:t>
      </w:r>
      <w:r w:rsidR="001148BE">
        <w:t xml:space="preserve"> </w:t>
      </w:r>
      <w:r w:rsidRPr="00B71283">
        <w:t xml:space="preserve">But that was never the </w:t>
      </w:r>
      <w:r w:rsidR="001148BE">
        <w:t xml:space="preserve">tenants’ </w:t>
      </w:r>
      <w:r w:rsidRPr="00B71283">
        <w:t xml:space="preserve">claim. </w:t>
      </w:r>
      <w:r w:rsidR="001148BE">
        <w:t xml:space="preserve"> </w:t>
      </w:r>
      <w:r w:rsidRPr="00B71283">
        <w:t xml:space="preserve">This is not harmless error; it is </w:t>
      </w:r>
      <w:r w:rsidR="000358FB">
        <w:t xml:space="preserve">a </w:t>
      </w:r>
      <w:r w:rsidR="00C63FC5">
        <w:t xml:space="preserve">purposeful </w:t>
      </w:r>
      <w:r w:rsidRPr="00B71283">
        <w:t xml:space="preserve">misdirection that evades the real issue. </w:t>
      </w:r>
      <w:r w:rsidR="00C63FC5">
        <w:t xml:space="preserve"> </w:t>
      </w:r>
      <w:r w:rsidRPr="00B71283">
        <w:t xml:space="preserve">Courts have long held that agency determinations must address the arguments actually raised—not distortions of them. </w:t>
      </w:r>
      <w:r w:rsidRPr="00D94810">
        <w:rPr>
          <w:i/>
          <w:iCs/>
        </w:rPr>
        <w:t>See Matter of Pell v. Bd. of Educ.</w:t>
      </w:r>
      <w:r w:rsidRPr="00B71283">
        <w:t xml:space="preserve">, 34 N.Y.2d 222, 231 (1974) (agency decisions must be rationally </w:t>
      </w:r>
      <w:r w:rsidRPr="00B71283">
        <w:lastRenderedPageBreak/>
        <w:t xml:space="preserve">based on the relevant facts and issues). </w:t>
      </w:r>
      <w:r w:rsidR="00D94810">
        <w:t xml:space="preserve"> </w:t>
      </w:r>
      <w:r w:rsidRPr="00B71283">
        <w:t xml:space="preserve">Here, the PSC mischaracterized tenant evidence of landlord unfitness as a misguided request for a repair order—when in fact, tenants submitted 976 pages of </w:t>
      </w:r>
      <w:r w:rsidR="00D94810">
        <w:t xml:space="preserve">comments and </w:t>
      </w:r>
      <w:r w:rsidRPr="00B71283">
        <w:t xml:space="preserve">affirmations establishing that the landlord is unfit to assume utility-like responsibilities. </w:t>
      </w:r>
      <w:r w:rsidR="00137561">
        <w:t xml:space="preserve"> </w:t>
      </w:r>
      <w:r w:rsidRPr="00B71283">
        <w:t>An order resting on such distortion is not rational under New York law and must be vacated</w:t>
      </w:r>
      <w:r w:rsidR="00970A03" w:rsidRPr="00970A03">
        <w:t>.</w:t>
      </w:r>
    </w:p>
    <w:p w14:paraId="382320A6" w14:textId="4F287858" w:rsidR="009E4929" w:rsidRDefault="00FE71A5" w:rsidP="00420036">
      <w:pPr>
        <w:pStyle w:val="Heading3"/>
        <w:numPr>
          <w:ilvl w:val="1"/>
          <w:numId w:val="44"/>
        </w:numPr>
      </w:pPr>
      <w:bookmarkStart w:id="145" w:name="_Toc207020523"/>
      <w:bookmarkStart w:id="146" w:name="_Toc207020585"/>
      <w:bookmarkStart w:id="147" w:name="_Toc207109693"/>
      <w:r>
        <w:t xml:space="preserve">Sworn Tenant Affirmations </w:t>
      </w:r>
      <w:r w:rsidR="00CB5AFC">
        <w:t>Show</w:t>
      </w:r>
      <w:r>
        <w:t xml:space="preserve"> Widespread Habitability </w:t>
      </w:r>
      <w:r w:rsidR="00CB5AFC">
        <w:t>Violations</w:t>
      </w:r>
      <w:r w:rsidR="00242BDB">
        <w:t>.</w:t>
      </w:r>
      <w:bookmarkEnd w:id="145"/>
      <w:bookmarkEnd w:id="146"/>
      <w:bookmarkEnd w:id="147"/>
    </w:p>
    <w:p w14:paraId="5BA9A818" w14:textId="22E1395C" w:rsidR="00B32EA1" w:rsidRDefault="002360A2" w:rsidP="009E4929">
      <w:pPr>
        <w:numPr>
          <w:ilvl w:val="0"/>
          <w:numId w:val="15"/>
        </w:numPr>
        <w:tabs>
          <w:tab w:val="clear" w:pos="720"/>
          <w:tab w:val="left" w:pos="1080"/>
        </w:tabs>
        <w:ind w:left="0" w:firstLine="540"/>
      </w:pPr>
      <w:r w:rsidRPr="002360A2">
        <w:t>In support of their Amended Petition for Rehearing, tenants submitted 976 pages of complaints, comments, and sworn affirmations documenting chronic habitability violations across all Affected Buildings. Executed under CPLR 2106, these affirmations are admissible as evidence in New York courts. They are not mere public comments, but sworn testimony</w:t>
      </w:r>
      <w:r w:rsidR="00FE71A5">
        <w:t xml:space="preserve">. </w:t>
      </w:r>
    </w:p>
    <w:p w14:paraId="05DCB3CF" w14:textId="5BB59B07" w:rsidR="00B32EA1" w:rsidRDefault="00AD3F7D" w:rsidP="00B32EA1">
      <w:pPr>
        <w:numPr>
          <w:ilvl w:val="0"/>
          <w:numId w:val="15"/>
        </w:numPr>
        <w:tabs>
          <w:tab w:val="clear" w:pos="720"/>
          <w:tab w:val="left" w:pos="1080"/>
        </w:tabs>
        <w:ind w:left="0" w:firstLine="540"/>
      </w:pPr>
      <w:r w:rsidRPr="00AD3F7D">
        <w:t xml:space="preserve">The affirmations reveal systemic failures: </w:t>
      </w:r>
      <w:r>
        <w:t xml:space="preserve"> </w:t>
      </w:r>
      <w:r w:rsidRPr="00AD3F7D">
        <w:t>83% reported cold apartments; 82% a lack of heat; 75% nonfunctional thermostats; 75% drafts through walls and windows; 73% baseboard heaters not working in one or more rooms; 72% inadequate insulation; 72% lack of hot water; 67% lack of water entirely; 64% chronic elevator outages; 59% infestations; and substantial reports of leaks, mold, and ignored repair requests. These sworn statements document conditions inconsistent not only with habitable housing, but with any standard of fitness to operate a submetered system</w:t>
      </w:r>
      <w:r w:rsidR="00FE71A5">
        <w:t>.</w:t>
      </w:r>
    </w:p>
    <w:p w14:paraId="1107485F" w14:textId="16F946F6" w:rsidR="00B32EA1" w:rsidRDefault="00FE71A5" w:rsidP="00420036">
      <w:pPr>
        <w:pStyle w:val="Heading3"/>
      </w:pPr>
      <w:bookmarkStart w:id="148" w:name="_Toc207020524"/>
      <w:bookmarkStart w:id="149" w:name="_Toc207020586"/>
      <w:bookmarkStart w:id="150" w:name="_Toc207109694"/>
      <w:r>
        <w:lastRenderedPageBreak/>
        <w:t>HPD Violations Confirm Unfitness</w:t>
      </w:r>
      <w:r w:rsidR="00D210B9">
        <w:t>.</w:t>
      </w:r>
      <w:bookmarkEnd w:id="148"/>
      <w:bookmarkEnd w:id="149"/>
      <w:bookmarkEnd w:id="150"/>
    </w:p>
    <w:p w14:paraId="6FBC4C78" w14:textId="1BE117B3" w:rsidR="00B32EA1" w:rsidRDefault="00FE71A5" w:rsidP="00B32EA1">
      <w:pPr>
        <w:numPr>
          <w:ilvl w:val="0"/>
          <w:numId w:val="15"/>
        </w:numPr>
        <w:tabs>
          <w:tab w:val="clear" w:pos="720"/>
          <w:tab w:val="left" w:pos="1080"/>
        </w:tabs>
        <w:ind w:left="0" w:firstLine="540"/>
      </w:pPr>
      <w:r>
        <w:t xml:space="preserve">In May 2025, petitioners obtained certified HPD violation summaries across all three Schomburg Plaza buildings. </w:t>
      </w:r>
      <w:r w:rsidR="00614C12">
        <w:t xml:space="preserve"> </w:t>
      </w:r>
      <w:r>
        <w:t xml:space="preserve">These records include </w:t>
      </w:r>
      <w:r w:rsidR="00614C12" w:rsidRPr="00614C12">
        <w:t>widespread Class B and C violations—including unsafe electrical wiring, broken smoke detectors, lead paint, rodent infestation, nonfunctioning heating systems, and mold</w:t>
      </w:r>
      <w:r>
        <w:t>.</w:t>
      </w:r>
    </w:p>
    <w:p w14:paraId="25CFA615" w14:textId="5260A9DB" w:rsidR="00B32EA1" w:rsidRDefault="00FE71A5" w:rsidP="00B32EA1">
      <w:pPr>
        <w:numPr>
          <w:ilvl w:val="0"/>
          <w:numId w:val="15"/>
        </w:numPr>
        <w:tabs>
          <w:tab w:val="clear" w:pos="720"/>
          <w:tab w:val="left" w:pos="1080"/>
        </w:tabs>
        <w:ind w:left="0" w:firstLine="540"/>
      </w:pPr>
      <w:r>
        <w:t xml:space="preserve">This evidence further rebuts the landlord’s sworn claims and the PSC’s findings of habitability. </w:t>
      </w:r>
      <w:r w:rsidR="00D210B9">
        <w:t xml:space="preserve"> </w:t>
      </w:r>
      <w:r>
        <w:t xml:space="preserve">A building complex with pervasive Class B and C violations is </w:t>
      </w:r>
      <w:r w:rsidRPr="00D210B9">
        <w:rPr>
          <w:i/>
          <w:iCs/>
        </w:rPr>
        <w:t>per se</w:t>
      </w:r>
      <w:r>
        <w:t xml:space="preserve"> unfit to submeter under Part 96, which requires fair and non-burdensome treatment of tenants.</w:t>
      </w:r>
    </w:p>
    <w:p w14:paraId="53568C47" w14:textId="28FD34E1" w:rsidR="00B32EA1" w:rsidRDefault="00FE71A5" w:rsidP="00420036">
      <w:pPr>
        <w:pStyle w:val="Heading3"/>
      </w:pPr>
      <w:bookmarkStart w:id="151" w:name="_Toc207020525"/>
      <w:bookmarkStart w:id="152" w:name="_Toc207020587"/>
      <w:bookmarkStart w:id="153" w:name="_Toc207109695"/>
      <w:r>
        <w:t xml:space="preserve">New Tenant </w:t>
      </w:r>
      <w:r w:rsidR="00AC361B">
        <w:t xml:space="preserve">Complaints </w:t>
      </w:r>
      <w:r>
        <w:t xml:space="preserve">Reinforce </w:t>
      </w:r>
      <w:r w:rsidR="00872292">
        <w:t>Unfitness</w:t>
      </w:r>
      <w:r w:rsidR="00AC361B">
        <w:t>.</w:t>
      </w:r>
      <w:bookmarkEnd w:id="151"/>
      <w:bookmarkEnd w:id="152"/>
      <w:bookmarkEnd w:id="153"/>
    </w:p>
    <w:p w14:paraId="0A31389A" w14:textId="77777777" w:rsidR="003366FA" w:rsidRDefault="003366FA" w:rsidP="00B32EA1">
      <w:pPr>
        <w:numPr>
          <w:ilvl w:val="0"/>
          <w:numId w:val="15"/>
        </w:numPr>
        <w:tabs>
          <w:tab w:val="clear" w:pos="720"/>
          <w:tab w:val="left" w:pos="1080"/>
        </w:tabs>
        <w:ind w:left="0" w:firstLine="540"/>
      </w:pPr>
      <w:r w:rsidRPr="003366FA">
        <w:t>After the issuance of the 2025 Order, petitioners gathered an additional 73 affirmations from Schomburg Plaza tenants, 60 from tenants of Miles and Parker, and a petition signed by 157 residents of Miles and Parker opposing submetering—all submitted as exhibits to the Amended Petition for Rehearing. These affirmations again contradict the PSC’s findings, describing persistent cold, broken heaters and thermostats, reliance on plug-in heaters, unsafe wiring, and increased usage by medical devices.</w:t>
      </w:r>
    </w:p>
    <w:p w14:paraId="200FC0CE" w14:textId="17FE19D1" w:rsidR="00B32EA1" w:rsidRDefault="00FE71A5" w:rsidP="00B32EA1">
      <w:pPr>
        <w:numPr>
          <w:ilvl w:val="0"/>
          <w:numId w:val="15"/>
        </w:numPr>
        <w:tabs>
          <w:tab w:val="clear" w:pos="720"/>
          <w:tab w:val="left" w:pos="1080"/>
        </w:tabs>
        <w:ind w:left="0" w:firstLine="540"/>
      </w:pPr>
      <w:r>
        <w:t xml:space="preserve">Tenants also testified that air conditioning is not a luxury but a necessity, particularly for seniors, disabled residents, and those with serious medical conditions. </w:t>
      </w:r>
      <w:r w:rsidR="00153A93">
        <w:t xml:space="preserve"> </w:t>
      </w:r>
      <w:r>
        <w:t xml:space="preserve">In an era </w:t>
      </w:r>
      <w:r>
        <w:lastRenderedPageBreak/>
        <w:t>of recurring extreme heat events, PSC’s treatment of cooling as discretionary contradicts both public health realities and its own policies.</w:t>
      </w:r>
    </w:p>
    <w:p w14:paraId="6CBA8EBA" w14:textId="6183311B" w:rsidR="00B32EA1" w:rsidRPr="00420036" w:rsidRDefault="006E500E" w:rsidP="00420036">
      <w:pPr>
        <w:pStyle w:val="Heading3"/>
      </w:pPr>
      <w:bookmarkStart w:id="154" w:name="_Toc207020526"/>
      <w:bookmarkStart w:id="155" w:name="_Toc207020588"/>
      <w:bookmarkStart w:id="156" w:name="_Toc207109696"/>
      <w:r w:rsidRPr="00420036">
        <w:t xml:space="preserve">Chronic Habitability Violations </w:t>
      </w:r>
      <w:r w:rsidR="00872292">
        <w:t>Prove Unfitness</w:t>
      </w:r>
      <w:r w:rsidRPr="00420036">
        <w:t>.</w:t>
      </w:r>
      <w:bookmarkEnd w:id="154"/>
      <w:bookmarkEnd w:id="155"/>
      <w:bookmarkEnd w:id="156"/>
    </w:p>
    <w:p w14:paraId="4D10B3C6" w14:textId="004C44D8" w:rsidR="00B32EA1" w:rsidRDefault="00FE71A5" w:rsidP="00B32EA1">
      <w:pPr>
        <w:numPr>
          <w:ilvl w:val="0"/>
          <w:numId w:val="15"/>
        </w:numPr>
        <w:tabs>
          <w:tab w:val="clear" w:pos="720"/>
          <w:tab w:val="left" w:pos="1080"/>
        </w:tabs>
        <w:ind w:left="0" w:firstLine="540"/>
      </w:pPr>
      <w:r>
        <w:t xml:space="preserve">Part 96 requires that submetering be fair, accurate, and non-burdensome. </w:t>
      </w:r>
      <w:r w:rsidR="006E500E">
        <w:t xml:space="preserve"> </w:t>
      </w:r>
      <w:r w:rsidRPr="006E500E">
        <w:rPr>
          <w:i/>
          <w:iCs/>
        </w:rPr>
        <w:t>See</w:t>
      </w:r>
      <w:r>
        <w:t xml:space="preserve"> 16 NYCRR §§ 96.1(i), 96.5(l)(3), 96.5(k). </w:t>
      </w:r>
      <w:r w:rsidR="006E500E">
        <w:t xml:space="preserve"> </w:t>
      </w:r>
      <w:r>
        <w:t xml:space="preserve">Submetering in unsafe, drafty, and underheated buildings unfairly shifts costs onto tenants forced to use plug-in heaters and medical devices simply to survive. </w:t>
      </w:r>
      <w:r w:rsidR="00D42EAD">
        <w:t xml:space="preserve"> </w:t>
      </w:r>
      <w:r>
        <w:t xml:space="preserve">It </w:t>
      </w:r>
      <w:r w:rsidR="0030621F" w:rsidRPr="0030621F">
        <w:t xml:space="preserve">unfairly penalizes tenants for the </w:t>
      </w:r>
      <w:r w:rsidR="0030621F">
        <w:t>L</w:t>
      </w:r>
      <w:r w:rsidR="0030621F" w:rsidRPr="0030621F">
        <w:t>andlord’s refusal to maintain habitable conditions—forcing them to shoulder utility burdens created by management’s own failures</w:t>
      </w:r>
      <w:r>
        <w:t>.</w:t>
      </w:r>
    </w:p>
    <w:p w14:paraId="1E418FFE" w14:textId="11E514B3" w:rsidR="00811E38" w:rsidRDefault="00FE71A5" w:rsidP="00811E38">
      <w:pPr>
        <w:numPr>
          <w:ilvl w:val="0"/>
          <w:numId w:val="15"/>
        </w:numPr>
        <w:tabs>
          <w:tab w:val="clear" w:pos="720"/>
          <w:tab w:val="left" w:pos="1080"/>
        </w:tabs>
        <w:ind w:left="0" w:firstLine="540"/>
      </w:pPr>
      <w:r>
        <w:t xml:space="preserve">By dismissing sworn affirmations, certified HPD violations, and petitions from hundreds of residents as “outside its jurisdiction,” the PSC avoided the central question of </w:t>
      </w:r>
      <w:r w:rsidR="009955A9">
        <w:t>L</w:t>
      </w:r>
      <w:r>
        <w:t xml:space="preserve">andlord fitness. </w:t>
      </w:r>
      <w:r w:rsidR="00D42EAD">
        <w:t xml:space="preserve"> </w:t>
      </w:r>
      <w:r>
        <w:t xml:space="preserve">This reasoning was arbitrary, capricious, and a misapplication of Part 96. </w:t>
      </w:r>
      <w:r w:rsidR="00D42EAD">
        <w:t xml:space="preserve"> </w:t>
      </w:r>
      <w:r>
        <w:t>The 2025 Order must be vacated, or at minimum reheard with full consideration of tenant evidence.</w:t>
      </w:r>
    </w:p>
    <w:p w14:paraId="1EAE18A5" w14:textId="04C8A015" w:rsidR="00811E38" w:rsidRPr="00811E38" w:rsidRDefault="00811E38" w:rsidP="004A1259">
      <w:pPr>
        <w:pStyle w:val="Heading2"/>
      </w:pPr>
      <w:bookmarkStart w:id="157" w:name="_Toc207020527"/>
      <w:bookmarkStart w:id="158" w:name="_Toc207020589"/>
      <w:bookmarkStart w:id="159" w:name="_Toc207109697"/>
      <w:r w:rsidRPr="00811E38">
        <w:t>Relief Required Under CPLR Article 78</w:t>
      </w:r>
      <w:bookmarkEnd w:id="157"/>
      <w:bookmarkEnd w:id="158"/>
      <w:bookmarkEnd w:id="159"/>
    </w:p>
    <w:p w14:paraId="6017CA16" w14:textId="631CA4F2" w:rsidR="006D37E0" w:rsidRDefault="00811E38" w:rsidP="00811E38">
      <w:pPr>
        <w:numPr>
          <w:ilvl w:val="0"/>
          <w:numId w:val="15"/>
        </w:numPr>
        <w:tabs>
          <w:tab w:val="clear" w:pos="720"/>
          <w:tab w:val="left" w:pos="1080"/>
        </w:tabs>
        <w:ind w:left="0" w:firstLine="540"/>
      </w:pPr>
      <w:r w:rsidRPr="00811E38">
        <w:t>As demonstrated above, the PSC’s April 28, 2025 Order is arbitrary</w:t>
      </w:r>
      <w:r w:rsidR="004A1259">
        <w:t xml:space="preserve"> and </w:t>
      </w:r>
      <w:r w:rsidRPr="00811E38">
        <w:t xml:space="preserve">capricious, </w:t>
      </w:r>
      <w:r w:rsidR="004A1259">
        <w:t xml:space="preserve">lacks a rational basis, </w:t>
      </w:r>
      <w:r w:rsidRPr="00811E38">
        <w:t xml:space="preserve">and </w:t>
      </w:r>
      <w:r w:rsidR="004A1259">
        <w:t xml:space="preserve">is </w:t>
      </w:r>
      <w:r w:rsidR="0011536F">
        <w:t>tainted</w:t>
      </w:r>
      <w:r w:rsidR="006D37E0">
        <w:t xml:space="preserve"> </w:t>
      </w:r>
      <w:r w:rsidRPr="00811E38">
        <w:t xml:space="preserve">by errors of law. </w:t>
      </w:r>
      <w:r w:rsidR="004A1259">
        <w:t xml:space="preserve"> </w:t>
      </w:r>
    </w:p>
    <w:p w14:paraId="3698B3DE" w14:textId="42F547ED" w:rsidR="00CA5F82" w:rsidRDefault="00CA5F82" w:rsidP="00811E38">
      <w:pPr>
        <w:numPr>
          <w:ilvl w:val="0"/>
          <w:numId w:val="15"/>
        </w:numPr>
        <w:tabs>
          <w:tab w:val="clear" w:pos="720"/>
          <w:tab w:val="left" w:pos="1080"/>
        </w:tabs>
        <w:ind w:left="0" w:firstLine="540"/>
      </w:pPr>
      <w:r>
        <w:t>In summary, t</w:t>
      </w:r>
      <w:r w:rsidR="00811E38" w:rsidRPr="00811E38">
        <w:t xml:space="preserve">he PSC revived an expired approval in violation of its own regulations; ignored </w:t>
      </w:r>
      <w:r w:rsidR="00F522A7">
        <w:t>976</w:t>
      </w:r>
      <w:r w:rsidR="00811E38" w:rsidRPr="00811E38">
        <w:t xml:space="preserve"> pages of </w:t>
      </w:r>
      <w:r w:rsidR="00F522A7">
        <w:t>tenants comments, complain</w:t>
      </w:r>
      <w:r w:rsidR="002B2125">
        <w:t>t</w:t>
      </w:r>
      <w:r w:rsidR="00F522A7">
        <w:t xml:space="preserve">s, and </w:t>
      </w:r>
      <w:r w:rsidR="00811E38" w:rsidRPr="00811E38">
        <w:t xml:space="preserve">sworn affirmations; accepted </w:t>
      </w:r>
      <w:r w:rsidR="00811E38" w:rsidRPr="00CA5F82">
        <w:rPr>
          <w:i/>
          <w:iCs/>
        </w:rPr>
        <w:t>ex parte</w:t>
      </w:r>
      <w:r w:rsidR="00811E38" w:rsidRPr="00811E38">
        <w:t xml:space="preserve"> </w:t>
      </w:r>
      <w:r w:rsidR="00811E38" w:rsidRPr="00811E38">
        <w:lastRenderedPageBreak/>
        <w:t xml:space="preserve">submissions from the landlord while disregarding contrary evidence; failed to apply updated statutory and regulatory standards; and removed key tenant protections </w:t>
      </w:r>
      <w:r w:rsidR="00F96CB8">
        <w:t xml:space="preserve">mandated by its own regulations </w:t>
      </w:r>
      <w:r w:rsidR="00811E38" w:rsidRPr="00811E38">
        <w:t xml:space="preserve">without </w:t>
      </w:r>
      <w:r>
        <w:t>a legal basis</w:t>
      </w:r>
      <w:r w:rsidR="00A40A7D">
        <w:t>.  No explanation was provided for this action, because none exists</w:t>
      </w:r>
      <w:r w:rsidR="00811E38" w:rsidRPr="00811E38">
        <w:t>.</w:t>
      </w:r>
    </w:p>
    <w:p w14:paraId="3177F21F" w14:textId="77777777" w:rsidR="003611DB" w:rsidRDefault="00811E38" w:rsidP="003611DB">
      <w:pPr>
        <w:numPr>
          <w:ilvl w:val="0"/>
          <w:numId w:val="15"/>
        </w:numPr>
        <w:tabs>
          <w:tab w:val="clear" w:pos="720"/>
          <w:tab w:val="left" w:pos="1080"/>
        </w:tabs>
        <w:ind w:left="0" w:firstLine="540"/>
      </w:pPr>
      <w:r w:rsidRPr="00811E38">
        <w:t xml:space="preserve">Under CPLR 7803(3), such a determination cannot stand. </w:t>
      </w:r>
      <w:r w:rsidR="00D824CF">
        <w:t xml:space="preserve"> </w:t>
      </w:r>
      <w:r w:rsidRPr="00811E38">
        <w:t xml:space="preserve">A decision resting on mischaracterizations, undisclosed evidence, and departures from binding rules lacks a rational basis and must be annulled. </w:t>
      </w:r>
      <w:r w:rsidRPr="009C2344">
        <w:rPr>
          <w:i/>
          <w:iCs/>
        </w:rPr>
        <w:t xml:space="preserve">See </w:t>
      </w:r>
      <w:r w:rsidRPr="00811E38">
        <w:rPr>
          <w:i/>
          <w:iCs/>
        </w:rPr>
        <w:t>Matter of Pell v. Bd. of Educ.</w:t>
      </w:r>
      <w:r w:rsidRPr="00811E38">
        <w:t xml:space="preserve">, 34 N.Y.2d 222, 231 (1974); </w:t>
      </w:r>
      <w:r w:rsidRPr="00811E38">
        <w:rPr>
          <w:i/>
          <w:iCs/>
        </w:rPr>
        <w:t>Matter of Charles A. Field Delivery Serv., Inc. v. Roberts</w:t>
      </w:r>
      <w:r w:rsidRPr="00811E38">
        <w:t>, 66 N.Y.2d 516, 520 (1985).</w:t>
      </w:r>
      <w:r w:rsidR="006A6F4B">
        <w:t xml:space="preserve">  </w:t>
      </w:r>
      <w:r w:rsidR="006A6F4B" w:rsidRPr="006A6F4B">
        <w:t>An agency must articulate a reasoned basis for its decision and adhere to its own rules</w:t>
      </w:r>
      <w:r w:rsidR="006A6F4B">
        <w:t>.</w:t>
      </w:r>
    </w:p>
    <w:p w14:paraId="03ADD534" w14:textId="77777777" w:rsidR="003611DB" w:rsidRDefault="003611DB" w:rsidP="003611DB">
      <w:pPr>
        <w:numPr>
          <w:ilvl w:val="0"/>
          <w:numId w:val="15"/>
        </w:numPr>
        <w:tabs>
          <w:tab w:val="clear" w:pos="720"/>
          <w:tab w:val="left" w:pos="1080"/>
        </w:tabs>
        <w:ind w:left="0" w:firstLine="540"/>
      </w:pPr>
      <w:r>
        <w:t xml:space="preserve">Under </w:t>
      </w:r>
      <w:r>
        <w:rPr>
          <w:rStyle w:val="Emphasis"/>
        </w:rPr>
        <w:t>Motor Vehicle Mfrs. Ass’n v. State Farm Mut. Auto. Ins. Co.</w:t>
      </w:r>
      <w:r>
        <w:t>, 463 U.S. 29 (1983), an administrative decision must be vacated where the agency fails to explain its departure from existing rules, relies on obsolete data, acts with apparent bias, or fails to consider important aspects of the problem. The 2025 Order must be vacated because:</w:t>
      </w:r>
    </w:p>
    <w:p w14:paraId="2D21848B" w14:textId="77777777" w:rsidR="00F12849" w:rsidRDefault="003611DB" w:rsidP="00F12849">
      <w:pPr>
        <w:numPr>
          <w:ilvl w:val="1"/>
          <w:numId w:val="15"/>
        </w:numPr>
        <w:tabs>
          <w:tab w:val="clear" w:pos="720"/>
          <w:tab w:val="left" w:pos="1440"/>
        </w:tabs>
        <w:ind w:left="1440"/>
      </w:pPr>
      <w:r>
        <w:t>The PSC departed from its own regulations without explanation;</w:t>
      </w:r>
    </w:p>
    <w:p w14:paraId="59F9CD15" w14:textId="1FC3946B" w:rsidR="00F12849" w:rsidRDefault="003611DB" w:rsidP="00F12849">
      <w:pPr>
        <w:numPr>
          <w:ilvl w:val="1"/>
          <w:numId w:val="15"/>
        </w:numPr>
        <w:tabs>
          <w:tab w:val="clear" w:pos="720"/>
          <w:tab w:val="left" w:pos="1440"/>
        </w:tabs>
        <w:ind w:left="1440"/>
      </w:pPr>
      <w:r>
        <w:t>It relied on outdated data from 2009–2011 rather than current facts;</w:t>
      </w:r>
    </w:p>
    <w:p w14:paraId="567439DD" w14:textId="77777777" w:rsidR="00F12849" w:rsidRDefault="003611DB" w:rsidP="00F12849">
      <w:pPr>
        <w:numPr>
          <w:ilvl w:val="1"/>
          <w:numId w:val="15"/>
        </w:numPr>
        <w:tabs>
          <w:tab w:val="clear" w:pos="720"/>
          <w:tab w:val="left" w:pos="1440"/>
        </w:tabs>
        <w:ind w:left="1440"/>
      </w:pPr>
      <w:r>
        <w:t>Its decision reflects bias and favoritism rather than neutral rulemaking; and</w:t>
      </w:r>
    </w:p>
    <w:p w14:paraId="7EC28018" w14:textId="59C4300D" w:rsidR="003611DB" w:rsidRDefault="003611DB" w:rsidP="00F12849">
      <w:pPr>
        <w:numPr>
          <w:ilvl w:val="1"/>
          <w:numId w:val="15"/>
        </w:numPr>
        <w:tabs>
          <w:tab w:val="clear" w:pos="720"/>
          <w:tab w:val="left" w:pos="1440"/>
        </w:tabs>
        <w:ind w:left="1440"/>
      </w:pPr>
      <w:r>
        <w:lastRenderedPageBreak/>
        <w:t>It failed to require the landlord to file a new petition under 16 NYCRR § 96.3(e), as the law mandates.</w:t>
      </w:r>
    </w:p>
    <w:p w14:paraId="54B62240" w14:textId="1FB4C2DF" w:rsidR="003B4884" w:rsidRDefault="00FC3233" w:rsidP="006578C0">
      <w:pPr>
        <w:numPr>
          <w:ilvl w:val="0"/>
          <w:numId w:val="15"/>
        </w:numPr>
        <w:tabs>
          <w:tab w:val="clear" w:pos="720"/>
          <w:tab w:val="left" w:pos="1080"/>
        </w:tabs>
        <w:ind w:left="0" w:firstLine="540"/>
      </w:pPr>
      <w:r>
        <w:t xml:space="preserve">Based on the foregoing, </w:t>
      </w:r>
      <w:r w:rsidR="00811E38" w:rsidRPr="00811E38">
        <w:t xml:space="preserve">Petitioners therefore respectfully request that the Court: </w:t>
      </w:r>
    </w:p>
    <w:p w14:paraId="6C716586" w14:textId="77777777" w:rsidR="003B4884" w:rsidRDefault="003B4884" w:rsidP="00FC3233">
      <w:pPr>
        <w:numPr>
          <w:ilvl w:val="1"/>
          <w:numId w:val="15"/>
        </w:numPr>
        <w:tabs>
          <w:tab w:val="clear" w:pos="720"/>
          <w:tab w:val="left" w:pos="1440"/>
        </w:tabs>
        <w:ind w:left="1440"/>
      </w:pPr>
      <w:r>
        <w:t>A</w:t>
      </w:r>
      <w:r w:rsidR="00811E38" w:rsidRPr="00811E38">
        <w:t xml:space="preserve">nnul and vacate the PSC’s April 28, 2025 Order in its entirety; </w:t>
      </w:r>
    </w:p>
    <w:p w14:paraId="592EA1E6" w14:textId="77777777" w:rsidR="00FC3233" w:rsidRDefault="003B4884" w:rsidP="00FC3233">
      <w:pPr>
        <w:numPr>
          <w:ilvl w:val="1"/>
          <w:numId w:val="15"/>
        </w:numPr>
        <w:tabs>
          <w:tab w:val="clear" w:pos="720"/>
          <w:tab w:val="left" w:pos="1440"/>
        </w:tabs>
        <w:ind w:left="1440"/>
      </w:pPr>
      <w:r>
        <w:t>D</w:t>
      </w:r>
      <w:r w:rsidR="00811E38" w:rsidRPr="00811E38">
        <w:t>eclare that the landlord may not implement submetering absent a</w:t>
      </w:r>
      <w:r w:rsidR="00D824CF">
        <w:t>pproval of a</w:t>
      </w:r>
      <w:r w:rsidR="00811E38" w:rsidRPr="00811E38">
        <w:t xml:space="preserve"> new, fully compliant petition under current law; and </w:t>
      </w:r>
    </w:p>
    <w:p w14:paraId="6C7C7A5A" w14:textId="1121CFD4" w:rsidR="006578C0" w:rsidRDefault="00FC3233" w:rsidP="00FC3233">
      <w:pPr>
        <w:numPr>
          <w:ilvl w:val="1"/>
          <w:numId w:val="15"/>
        </w:numPr>
        <w:tabs>
          <w:tab w:val="clear" w:pos="720"/>
          <w:tab w:val="left" w:pos="1440"/>
        </w:tabs>
        <w:ind w:left="1440"/>
      </w:pPr>
      <w:r>
        <w:t>G</w:t>
      </w:r>
      <w:r w:rsidR="00811E38" w:rsidRPr="00811E38">
        <w:t>rant interim relief under CPLR 6301–6313 enjoining the landlord from imposing submetered charges pending the resolution of this proceeding.</w:t>
      </w:r>
    </w:p>
    <w:p w14:paraId="644969A5" w14:textId="481240E6" w:rsidR="006578C0" w:rsidRDefault="006578C0" w:rsidP="00E0640B">
      <w:pPr>
        <w:pStyle w:val="Heading2"/>
      </w:pPr>
      <w:bookmarkStart w:id="160" w:name="_Toc207020528"/>
      <w:bookmarkStart w:id="161" w:name="_Toc207020590"/>
      <w:bookmarkStart w:id="162" w:name="_Toc207109698"/>
      <w:r>
        <w:t xml:space="preserve">Petitioners Are Entitled to Injunctive </w:t>
      </w:r>
      <w:r w:rsidR="00325DB3">
        <w:t>and Declaratory Relief</w:t>
      </w:r>
      <w:bookmarkEnd w:id="160"/>
      <w:bookmarkEnd w:id="161"/>
      <w:bookmarkEnd w:id="162"/>
    </w:p>
    <w:p w14:paraId="28D7038E" w14:textId="597EF389" w:rsidR="005176FA" w:rsidRDefault="002117D8" w:rsidP="005176FA">
      <w:pPr>
        <w:numPr>
          <w:ilvl w:val="0"/>
          <w:numId w:val="15"/>
        </w:numPr>
        <w:tabs>
          <w:tab w:val="clear" w:pos="720"/>
          <w:tab w:val="left" w:pos="1080"/>
        </w:tabs>
        <w:ind w:left="0" w:firstLine="540"/>
      </w:pPr>
      <w:r w:rsidRPr="002117D8">
        <w:t>Because Petitioners have established irreparable harm, a likelihood of success on the merits, and that the balance of equities favors equitable relief, the Court must annul the 2025 Order and enjoin the Landlord from implementing submetering at the Affected Buildings</w:t>
      </w:r>
      <w:r w:rsidR="005176FA">
        <w:t xml:space="preserve">. </w:t>
      </w:r>
      <w:r w:rsidR="00255B8E">
        <w:t xml:space="preserve"> </w:t>
      </w:r>
      <w:r w:rsidR="005176FA">
        <w:t>The record establishes that the Landlord is demonstrably unfit to assume the responsibilities of a submeterer — responsibilities akin to those of a regulated utility provider.</w:t>
      </w:r>
    </w:p>
    <w:p w14:paraId="73DD6609" w14:textId="77777777" w:rsidR="005176FA" w:rsidRDefault="005176FA" w:rsidP="005176FA">
      <w:pPr>
        <w:numPr>
          <w:ilvl w:val="0"/>
          <w:numId w:val="15"/>
        </w:numPr>
        <w:tabs>
          <w:tab w:val="clear" w:pos="720"/>
          <w:tab w:val="left" w:pos="1080"/>
        </w:tabs>
        <w:ind w:left="0" w:firstLine="540"/>
      </w:pPr>
      <w:r>
        <w:t xml:space="preserve">A landlord in chronic breach of the warranty of habitability, who conceals binding regulatory agreements, ignores rent stabilization obligations, and misrepresents material facts </w:t>
      </w:r>
      <w:r>
        <w:lastRenderedPageBreak/>
        <w:t>to the PSC, cannot lawfully or equitably be entrusted with the power to meter, bill, and disconnect tenants for essential electricity service.</w:t>
      </w:r>
    </w:p>
    <w:p w14:paraId="0AED00B8" w14:textId="22FA35CC" w:rsidR="00A1469D" w:rsidRDefault="00A1469D" w:rsidP="00A1469D">
      <w:pPr>
        <w:pStyle w:val="Heading3"/>
        <w:numPr>
          <w:ilvl w:val="1"/>
          <w:numId w:val="45"/>
        </w:numPr>
      </w:pPr>
      <w:bookmarkStart w:id="163" w:name="_Toc207020529"/>
      <w:bookmarkStart w:id="164" w:name="_Toc207020591"/>
      <w:bookmarkStart w:id="165" w:name="_Toc207109699"/>
      <w:r w:rsidRPr="005176FA">
        <w:rPr>
          <w:rStyle w:val="Heading3Char"/>
          <w:b/>
          <w:bCs/>
        </w:rPr>
        <w:t>Irreparable Harm to Tenants</w:t>
      </w:r>
      <w:r>
        <w:t>.</w:t>
      </w:r>
      <w:bookmarkEnd w:id="163"/>
      <w:bookmarkEnd w:id="164"/>
      <w:bookmarkEnd w:id="165"/>
    </w:p>
    <w:p w14:paraId="0D61D765" w14:textId="677EA056" w:rsidR="0098343A" w:rsidRDefault="0098343A" w:rsidP="0098343A">
      <w:pPr>
        <w:numPr>
          <w:ilvl w:val="0"/>
          <w:numId w:val="15"/>
        </w:numPr>
        <w:tabs>
          <w:tab w:val="clear" w:pos="720"/>
          <w:tab w:val="left" w:pos="1080"/>
        </w:tabs>
        <w:ind w:left="0" w:firstLine="540"/>
      </w:pPr>
      <w:r>
        <w:t xml:space="preserve">Absent judicial intervention, the Landlord has announced his intent to begin submetering as soon as September 1, 2025. If allowed, tenants will immediately face unlawful, inflated electricity charges ranging from $400 to $1,700 per month — eviction-level bills that cannot later be undone. </w:t>
      </w:r>
      <w:r w:rsidR="00C3417E">
        <w:t xml:space="preserve"> </w:t>
      </w:r>
      <w:r>
        <w:t>The harm is not limited to financial loss.</w:t>
      </w:r>
    </w:p>
    <w:p w14:paraId="361E825E" w14:textId="55D7AACA" w:rsidR="00B577D9" w:rsidRDefault="0098343A" w:rsidP="00B577D9">
      <w:pPr>
        <w:numPr>
          <w:ilvl w:val="0"/>
          <w:numId w:val="15"/>
        </w:numPr>
        <w:tabs>
          <w:tab w:val="clear" w:pos="720"/>
          <w:tab w:val="left" w:pos="1080"/>
        </w:tabs>
        <w:ind w:left="0" w:firstLine="540"/>
      </w:pPr>
      <w:r>
        <w:t xml:space="preserve">For the 30–50% of tenants in the Affected Buildings receiving Section 8 or other rental assistance, the consequences are catastrophic.  Section 8 vouchers are tied to the apartment.  If a tenant is evicted for nonpayment of inflated electricity charges, the voucher terminates. </w:t>
      </w:r>
      <w:r w:rsidR="00B577D9">
        <w:t xml:space="preserve"> </w:t>
      </w:r>
      <w:r>
        <w:t xml:space="preserve">The evicted tenant must then reapply, a process that can take months or years, during which the tenant remains unassisted and at risk of homelessness. </w:t>
      </w:r>
      <w:r w:rsidR="00B577D9">
        <w:t xml:space="preserve"> </w:t>
      </w:r>
      <w:r>
        <w:t>Many never regain their subsidy.</w:t>
      </w:r>
    </w:p>
    <w:p w14:paraId="34C3B92E" w14:textId="2F0964BC" w:rsidR="008011DD" w:rsidRDefault="0098343A" w:rsidP="008011DD">
      <w:pPr>
        <w:numPr>
          <w:ilvl w:val="0"/>
          <w:numId w:val="15"/>
        </w:numPr>
        <w:tabs>
          <w:tab w:val="clear" w:pos="720"/>
          <w:tab w:val="left" w:pos="1080"/>
        </w:tabs>
        <w:ind w:left="0" w:firstLine="540"/>
      </w:pPr>
      <w:r>
        <w:t xml:space="preserve">Beyond subsidy termination, the threat of eviction will create pervasive fear and anxiety. </w:t>
      </w:r>
      <w:r w:rsidR="00B577D9">
        <w:t xml:space="preserve"> </w:t>
      </w:r>
      <w:r>
        <w:t xml:space="preserve">Families will ration or avoid essential electricity use, even in life-threatening circumstances. </w:t>
      </w:r>
      <w:r w:rsidR="008011DD">
        <w:t xml:space="preserve"> </w:t>
      </w:r>
      <w:r w:rsidR="002B0751" w:rsidRPr="002B0751">
        <w:t xml:space="preserve">Elderly and disabled tenants will be forced to curtail use of essential medical equipment—including CPAP machines, nebulizers, and air conditioners during heat waves—placing them at risk of </w:t>
      </w:r>
      <w:r w:rsidR="002B0751" w:rsidRPr="002B0751">
        <w:lastRenderedPageBreak/>
        <w:t xml:space="preserve">serious illness or death. </w:t>
      </w:r>
      <w:r w:rsidR="00B45DA4">
        <w:t xml:space="preserve"> </w:t>
      </w:r>
      <w:r w:rsidR="002B0751" w:rsidRPr="002B0751">
        <w:t>The psychological burden—fear, stress, and uncertainty—is itself irreparable and compounds the physical danger.</w:t>
      </w:r>
    </w:p>
    <w:p w14:paraId="0AE1B6D1" w14:textId="4941D657" w:rsidR="0098343A" w:rsidRDefault="00C3417E" w:rsidP="0023528A">
      <w:pPr>
        <w:numPr>
          <w:ilvl w:val="0"/>
          <w:numId w:val="15"/>
        </w:numPr>
        <w:tabs>
          <w:tab w:val="clear" w:pos="720"/>
          <w:tab w:val="left" w:pos="1080"/>
        </w:tabs>
        <w:ind w:left="0" w:firstLine="540"/>
      </w:pPr>
      <w:r w:rsidRPr="00C3417E">
        <w:t xml:space="preserve">Courts have long recognized that eviction, loss of housing subsidies, and threats to health and safety constitute irreparable harm because they cannot be adequately compensated by money damages. </w:t>
      </w:r>
      <w:r w:rsidR="001C5C54">
        <w:t xml:space="preserve"> </w:t>
      </w:r>
      <w:r w:rsidRPr="00C3417E">
        <w:t xml:space="preserve">No award of damages can restore a lost subsidy or undo the destabilization of a family’s housing. </w:t>
      </w:r>
      <w:r w:rsidR="00550B11">
        <w:t xml:space="preserve"> </w:t>
      </w:r>
      <w:r w:rsidRPr="00C3417E">
        <w:t xml:space="preserve">Likewise, the anxiety and fear caused by the prospect of eviction, or the need to forego heat and cooling to avoid arrears, are harms that the law recognizes as irreparable. </w:t>
      </w:r>
      <w:r w:rsidR="00550B11">
        <w:t xml:space="preserve"> </w:t>
      </w:r>
      <w:r w:rsidRPr="00C3417E">
        <w:t>For these reasons, equitable relief is essential to prevent unlawful submetering from proceeding.</w:t>
      </w:r>
      <w:r w:rsidR="0023528A">
        <w:t xml:space="preserve">  </w:t>
      </w:r>
      <w:r w:rsidR="0098343A">
        <w:t>There is no adequate remedy at law.</w:t>
      </w:r>
    </w:p>
    <w:p w14:paraId="7D2E8DD8" w14:textId="77777777" w:rsidR="007B5DD1" w:rsidRDefault="00880760" w:rsidP="00420036">
      <w:pPr>
        <w:pStyle w:val="Heading3"/>
      </w:pPr>
      <w:bookmarkStart w:id="166" w:name="_Toc207020530"/>
      <w:bookmarkStart w:id="167" w:name="_Toc207020592"/>
      <w:bookmarkStart w:id="168" w:name="_Toc207109700"/>
      <w:r>
        <w:t>Likelihood of Success on the Merits</w:t>
      </w:r>
      <w:r w:rsidR="007B5DD1">
        <w:t>.</w:t>
      </w:r>
      <w:bookmarkEnd w:id="166"/>
      <w:bookmarkEnd w:id="167"/>
      <w:bookmarkEnd w:id="168"/>
    </w:p>
    <w:p w14:paraId="6756F86F" w14:textId="63EFAA71" w:rsidR="005A1AA6" w:rsidRDefault="002E2569" w:rsidP="007B5DD1">
      <w:pPr>
        <w:numPr>
          <w:ilvl w:val="0"/>
          <w:numId w:val="15"/>
        </w:numPr>
        <w:tabs>
          <w:tab w:val="clear" w:pos="720"/>
          <w:tab w:val="left" w:pos="1080"/>
        </w:tabs>
        <w:ind w:left="0" w:firstLine="540"/>
      </w:pPr>
      <w:r>
        <w:t>As stated more fully above, t</w:t>
      </w:r>
      <w:r w:rsidR="005A1AA6" w:rsidRPr="005A1AA6">
        <w:t xml:space="preserve">he PSC’s 2025 Order revived an expired approval, eliminated mandatory tenant protections, authorized charges exceeding the SC-1 rate cap in violation of § 96.1(i), relied on extra-record evidence, and ignored </w:t>
      </w:r>
      <w:r>
        <w:t>976</w:t>
      </w:r>
      <w:r w:rsidR="005A1AA6" w:rsidRPr="005A1AA6">
        <w:t xml:space="preserve"> pages of tenant </w:t>
      </w:r>
      <w:r>
        <w:t xml:space="preserve">complaints, comments and </w:t>
      </w:r>
      <w:r w:rsidR="005A1AA6" w:rsidRPr="005A1AA6">
        <w:t xml:space="preserve">affirmations. </w:t>
      </w:r>
      <w:r>
        <w:t xml:space="preserve"> </w:t>
      </w:r>
      <w:r w:rsidR="005A1AA6" w:rsidRPr="005A1AA6">
        <w:t>These failures violate multiple provisions of law and satisfy every ground for annulment under CPLR 7803(3).</w:t>
      </w:r>
    </w:p>
    <w:p w14:paraId="34C4D147" w14:textId="12CAB912" w:rsidR="007B5DD1" w:rsidRDefault="00420036" w:rsidP="00420036">
      <w:pPr>
        <w:pStyle w:val="Heading3"/>
      </w:pPr>
      <w:bookmarkStart w:id="169" w:name="_Toc207020531"/>
      <w:bookmarkStart w:id="170" w:name="_Toc207020593"/>
      <w:bookmarkStart w:id="171" w:name="_Toc207109701"/>
      <w:r>
        <w:t xml:space="preserve">The </w:t>
      </w:r>
      <w:r w:rsidR="00880760">
        <w:t>Balance of the Equities</w:t>
      </w:r>
      <w:r>
        <w:t xml:space="preserve"> Favors Petitioners.</w:t>
      </w:r>
      <w:bookmarkEnd w:id="169"/>
      <w:bookmarkEnd w:id="170"/>
      <w:bookmarkEnd w:id="171"/>
    </w:p>
    <w:p w14:paraId="3DA6DE09" w14:textId="77777777" w:rsidR="009132F7" w:rsidRDefault="00880760" w:rsidP="007B5DD1">
      <w:pPr>
        <w:numPr>
          <w:ilvl w:val="0"/>
          <w:numId w:val="15"/>
        </w:numPr>
        <w:tabs>
          <w:tab w:val="clear" w:pos="720"/>
          <w:tab w:val="left" w:pos="1080"/>
        </w:tabs>
        <w:ind w:left="0" w:firstLine="540"/>
      </w:pPr>
      <w:r>
        <w:t xml:space="preserve">The balance of hardships overwhelmingly favors tenants. </w:t>
      </w:r>
      <w:r w:rsidR="000927BE">
        <w:t xml:space="preserve"> </w:t>
      </w:r>
      <w:r>
        <w:t xml:space="preserve">The Landlord has delayed submetering for 14 years and faces no </w:t>
      </w:r>
      <w:r>
        <w:lastRenderedPageBreak/>
        <w:t xml:space="preserve">material prejudice from further delay. </w:t>
      </w:r>
      <w:r w:rsidR="000927BE">
        <w:t xml:space="preserve"> </w:t>
      </w:r>
      <w:r>
        <w:t xml:space="preserve">By contrast, tenants face </w:t>
      </w:r>
      <w:r w:rsidR="000927BE">
        <w:t xml:space="preserve">enormous electric bills, possible </w:t>
      </w:r>
      <w:r>
        <w:t xml:space="preserve">eviction, utility shutoffs, health emergencies, and </w:t>
      </w:r>
      <w:r w:rsidR="00651A2E">
        <w:t xml:space="preserve">loss of </w:t>
      </w:r>
      <w:r w:rsidR="009132F7">
        <w:t xml:space="preserve">Section 8 vouchers, and </w:t>
      </w:r>
      <w:r>
        <w:t xml:space="preserve">subsidy disruptions if the scheme proceeds. </w:t>
      </w:r>
      <w:r w:rsidR="00793049">
        <w:t xml:space="preserve"> </w:t>
      </w:r>
    </w:p>
    <w:p w14:paraId="3DB82233" w14:textId="3D54C396" w:rsidR="007B5DD1" w:rsidRDefault="00F67B24" w:rsidP="007B5DD1">
      <w:pPr>
        <w:numPr>
          <w:ilvl w:val="0"/>
          <w:numId w:val="15"/>
        </w:numPr>
        <w:tabs>
          <w:tab w:val="clear" w:pos="720"/>
          <w:tab w:val="left" w:pos="1080"/>
        </w:tabs>
        <w:ind w:left="0" w:firstLine="540"/>
      </w:pPr>
      <w:r w:rsidRPr="00F67B24">
        <w:t xml:space="preserve">Equity demands that the Court preserve the </w:t>
      </w:r>
      <w:r w:rsidRPr="009E5F28">
        <w:rPr>
          <w:i/>
          <w:iCs/>
        </w:rPr>
        <w:t>status quo</w:t>
      </w:r>
      <w:r w:rsidRPr="00F67B24">
        <w:t xml:space="preserve"> until the merits of this petition are fully adjudicated. </w:t>
      </w:r>
      <w:r w:rsidR="009E5F28">
        <w:t xml:space="preserve"> </w:t>
      </w:r>
      <w:r w:rsidRPr="00F67B24">
        <w:t xml:space="preserve">Doing otherwise would irreparably </w:t>
      </w:r>
      <w:r w:rsidR="009E5F28">
        <w:t>harm</w:t>
      </w:r>
      <w:r w:rsidRPr="00F67B24">
        <w:t xml:space="preserve"> tenants before any judicial review can occur</w:t>
      </w:r>
      <w:r w:rsidR="00880760">
        <w:t>.</w:t>
      </w:r>
    </w:p>
    <w:p w14:paraId="50D9C18A" w14:textId="4CE29B9B" w:rsidR="007B5DD1" w:rsidRPr="00420036" w:rsidRDefault="00880760" w:rsidP="00420036">
      <w:pPr>
        <w:pStyle w:val="Heading3"/>
        <w:rPr>
          <w:b w:val="0"/>
          <w:bCs w:val="0"/>
        </w:rPr>
      </w:pPr>
      <w:bookmarkStart w:id="172" w:name="_Toc207020532"/>
      <w:bookmarkStart w:id="173" w:name="_Toc207020594"/>
      <w:bookmarkStart w:id="174" w:name="_Toc207109702"/>
      <w:r w:rsidRPr="00420036">
        <w:rPr>
          <w:rStyle w:val="Heading3Char"/>
          <w:b/>
          <w:bCs/>
        </w:rPr>
        <w:t>Emergency Circumstances</w:t>
      </w:r>
      <w:r w:rsidR="007B5DD1" w:rsidRPr="00420036">
        <w:rPr>
          <w:b w:val="0"/>
          <w:bCs w:val="0"/>
        </w:rPr>
        <w:t>.</w:t>
      </w:r>
      <w:bookmarkEnd w:id="172"/>
      <w:bookmarkEnd w:id="173"/>
      <w:bookmarkEnd w:id="174"/>
    </w:p>
    <w:p w14:paraId="1EEF053D" w14:textId="7FC90A8E" w:rsidR="00420036" w:rsidRDefault="00880760" w:rsidP="00420036">
      <w:pPr>
        <w:numPr>
          <w:ilvl w:val="0"/>
          <w:numId w:val="15"/>
        </w:numPr>
        <w:tabs>
          <w:tab w:val="clear" w:pos="720"/>
          <w:tab w:val="left" w:pos="1080"/>
        </w:tabs>
        <w:ind w:left="0" w:firstLine="540"/>
      </w:pPr>
      <w:r>
        <w:t xml:space="preserve">This is an emergency application. </w:t>
      </w:r>
      <w:r w:rsidR="007B5DD1">
        <w:t xml:space="preserve"> </w:t>
      </w:r>
      <w:r>
        <w:t xml:space="preserve">The Landlord has stated his intention to begin billing for submetered electricity as soon as September 1, 2025. </w:t>
      </w:r>
      <w:r w:rsidR="007B5DD1">
        <w:t xml:space="preserve"> </w:t>
      </w:r>
      <w:r>
        <w:t xml:space="preserve">Without immediate judicial intervention, tenants will be exposed to unlawful charges and cascading harms before the Court can render a final decision. </w:t>
      </w:r>
      <w:r w:rsidR="00420036">
        <w:t xml:space="preserve"> </w:t>
      </w:r>
      <w:r>
        <w:t xml:space="preserve">A temporary restraining order </w:t>
      </w:r>
      <w:r w:rsidR="006E7724">
        <w:t xml:space="preserve">(TRO) </w:t>
      </w:r>
      <w:r>
        <w:t>is therefore essential to prevent irreparable injury and preserve the Court’s jurisdiction to provide meaningful relief.</w:t>
      </w:r>
      <w:r w:rsidR="006E7724">
        <w:t xml:space="preserve">  </w:t>
      </w:r>
      <w:r w:rsidR="006E7724" w:rsidRPr="006E7724">
        <w:t>Absent a TRO, Petitioners will be irreparably harmed before the Court can adjudicate the legality of the Order—defeating the very purpose of this proceeding.</w:t>
      </w:r>
    </w:p>
    <w:p w14:paraId="612CC2C6" w14:textId="4C318B1F" w:rsidR="003F6142" w:rsidRDefault="003F6142" w:rsidP="003F6142">
      <w:pPr>
        <w:pStyle w:val="Heading3"/>
      </w:pPr>
      <w:bookmarkStart w:id="175" w:name="_Toc207020533"/>
      <w:bookmarkStart w:id="176" w:name="_Toc207020595"/>
      <w:bookmarkStart w:id="177" w:name="_Toc207109703"/>
      <w:r w:rsidRPr="003F6142">
        <w:t>Declaratory Relief as to Landlord’s Unfitness</w:t>
      </w:r>
      <w:r>
        <w:t xml:space="preserve"> to Submeter.</w:t>
      </w:r>
      <w:bookmarkEnd w:id="175"/>
      <w:bookmarkEnd w:id="176"/>
      <w:bookmarkEnd w:id="177"/>
    </w:p>
    <w:p w14:paraId="4B691445" w14:textId="77777777" w:rsidR="005D35B0" w:rsidRDefault="005D35B0" w:rsidP="005D35B0">
      <w:pPr>
        <w:numPr>
          <w:ilvl w:val="0"/>
          <w:numId w:val="15"/>
        </w:numPr>
        <w:tabs>
          <w:tab w:val="clear" w:pos="720"/>
          <w:tab w:val="left" w:pos="1080"/>
        </w:tabs>
        <w:ind w:left="0" w:firstLine="540"/>
      </w:pPr>
      <w:r>
        <w:t xml:space="preserve">Based upon the record before this Court, and in addition to annulling the PSC’s 2025 Order, Petitioners seek a declaratory </w:t>
      </w:r>
      <w:r>
        <w:lastRenderedPageBreak/>
        <w:t>judgment under CPLR 3001 that the Landlord is unfit to serve as a submeterer.</w:t>
      </w:r>
    </w:p>
    <w:p w14:paraId="6CE99596" w14:textId="77777777" w:rsidR="005D35B0" w:rsidRDefault="005D35B0" w:rsidP="005D35B0">
      <w:pPr>
        <w:numPr>
          <w:ilvl w:val="0"/>
          <w:numId w:val="15"/>
        </w:numPr>
        <w:tabs>
          <w:tab w:val="clear" w:pos="720"/>
          <w:tab w:val="left" w:pos="1080"/>
        </w:tabs>
        <w:ind w:left="0" w:firstLine="540"/>
      </w:pPr>
      <w:r>
        <w:t>Submetering entrusts a landlord with responsibilities equivalent to those of a regulated utility: metering, billing, and the power to terminate essential electricity service.</w:t>
      </w:r>
    </w:p>
    <w:p w14:paraId="5C99B405" w14:textId="77777777" w:rsidR="005D35B0" w:rsidRDefault="005D35B0" w:rsidP="005D35B0">
      <w:pPr>
        <w:numPr>
          <w:ilvl w:val="0"/>
          <w:numId w:val="15"/>
        </w:numPr>
        <w:tabs>
          <w:tab w:val="clear" w:pos="720"/>
          <w:tab w:val="left" w:pos="1080"/>
        </w:tabs>
        <w:ind w:left="0" w:firstLine="540"/>
      </w:pPr>
      <w:r>
        <w:t>The record establishes that this Landlord — having chronically breached the warranty of habitability, concealed binding Regulatory Agreements, ignored rent-stabilization mandates, and misrepresented material facts to the PSC — is unfit to exercise such authority.</w:t>
      </w:r>
    </w:p>
    <w:p w14:paraId="375818DA" w14:textId="4EC4A925" w:rsidR="005D35B0" w:rsidRDefault="00C25120" w:rsidP="005D35B0">
      <w:pPr>
        <w:numPr>
          <w:ilvl w:val="0"/>
          <w:numId w:val="15"/>
        </w:numPr>
        <w:tabs>
          <w:tab w:val="clear" w:pos="720"/>
          <w:tab w:val="left" w:pos="1080"/>
        </w:tabs>
        <w:ind w:left="0" w:firstLine="540"/>
      </w:pPr>
      <w:r w:rsidRPr="00C25120">
        <w:t>A declaratory judgment confirming the Landlord’s unfitness will resolve a live legal controversy, clarify the parties’ rights, and give binding effect to this Court’s findings in future regulatory proceedings—preventing recurrence of the same dispute and protecting tenants’ rights under Part 96 and the Public Service Law</w:t>
      </w:r>
      <w:r w:rsidR="005D35B0">
        <w:t>.</w:t>
      </w:r>
    </w:p>
    <w:p w14:paraId="387F6E7D" w14:textId="76903CB7" w:rsidR="00420036" w:rsidRDefault="00880760" w:rsidP="00420036">
      <w:pPr>
        <w:pStyle w:val="Heading1"/>
      </w:pPr>
      <w:bookmarkStart w:id="178" w:name="_Toc207020534"/>
      <w:bookmarkStart w:id="179" w:name="_Toc207020596"/>
      <w:bookmarkStart w:id="180" w:name="_Toc207109704"/>
      <w:r>
        <w:t xml:space="preserve">CONCLUSION </w:t>
      </w:r>
      <w:r w:rsidR="00B02E7F">
        <w:t>and</w:t>
      </w:r>
      <w:r>
        <w:t xml:space="preserve"> PRAYER FOR RELIEF</w:t>
      </w:r>
      <w:bookmarkEnd w:id="178"/>
      <w:bookmarkEnd w:id="179"/>
      <w:bookmarkEnd w:id="180"/>
    </w:p>
    <w:p w14:paraId="53C03089" w14:textId="3746C435" w:rsidR="00880760" w:rsidRDefault="00420036" w:rsidP="00420036">
      <w:pPr>
        <w:tabs>
          <w:tab w:val="clear" w:pos="720"/>
          <w:tab w:val="left" w:pos="1080"/>
        </w:tabs>
      </w:pPr>
      <w:r>
        <w:tab/>
      </w:r>
      <w:r w:rsidR="00AF42B5" w:rsidRPr="00AF42B5">
        <w:t>For the reasons set forth above, the PSC’s April 28, 2025 Order is procedurally defective, substantively flawed, and legally unsustainable.</w:t>
      </w:r>
      <w:r w:rsidR="00AF42B5">
        <w:t xml:space="preserve"> </w:t>
      </w:r>
      <w:r w:rsidR="00AF42B5" w:rsidRPr="00AF42B5">
        <w:t xml:space="preserve"> It was issued in violation of the PSC’s own regulations, relied on an expired and materially altered approval, failed to consider significant new facts, laws, and evidence, and deprived tenants of the procedural and substantive protections guaranteed by 16 NYCRR Part 96. </w:t>
      </w:r>
      <w:r w:rsidR="00E60761">
        <w:t xml:space="preserve"> </w:t>
      </w:r>
      <w:r w:rsidR="00AF42B5" w:rsidRPr="00AF42B5">
        <w:t xml:space="preserve">The PSC’s refusal to enforce </w:t>
      </w:r>
      <w:r w:rsidR="00AF42B5" w:rsidRPr="00AF42B5">
        <w:lastRenderedPageBreak/>
        <w:t>mandatory provisions, its acceptance of unsupported representations by the Landlord, and its disregard of governing precedent require that the Order be vacated in its entirety to prevent irreparable harm and restore public confidence in regulatory integrity.</w:t>
      </w:r>
    </w:p>
    <w:p w14:paraId="4AB514FA" w14:textId="77777777" w:rsidR="00563C09" w:rsidRPr="00563C09" w:rsidRDefault="00625621" w:rsidP="00563C09">
      <w:pPr>
        <w:tabs>
          <w:tab w:val="left" w:pos="1080"/>
        </w:tabs>
      </w:pPr>
      <w:r>
        <w:tab/>
      </w:r>
      <w:r w:rsidR="00563C09" w:rsidRPr="00563C09">
        <w:t>WHEREFORE, Petitioners respectfully request that this Court:</w:t>
      </w:r>
    </w:p>
    <w:p w14:paraId="1FF2A7B2" w14:textId="7D9B609D" w:rsidR="00563C09" w:rsidRPr="00563C09" w:rsidRDefault="00563C09" w:rsidP="007B364B">
      <w:pPr>
        <w:numPr>
          <w:ilvl w:val="0"/>
          <w:numId w:val="46"/>
        </w:numPr>
        <w:tabs>
          <w:tab w:val="clear" w:pos="720"/>
          <w:tab w:val="left" w:pos="1080"/>
        </w:tabs>
        <w:ind w:left="1080"/>
      </w:pPr>
      <w:r w:rsidRPr="00563C09">
        <w:t xml:space="preserve">Vacate the April 28, 2025 Order in its entirety as </w:t>
      </w:r>
      <w:r w:rsidR="00022DD5">
        <w:t xml:space="preserve">issued </w:t>
      </w:r>
      <w:r w:rsidRPr="00563C09">
        <w:t xml:space="preserve">without jurisdiction, </w:t>
      </w:r>
      <w:r w:rsidRPr="00563C09">
        <w:rPr>
          <w:i/>
          <w:iCs/>
        </w:rPr>
        <w:t>ultra vires</w:t>
      </w:r>
      <w:r w:rsidRPr="00563C09">
        <w:t xml:space="preserve">, and </w:t>
      </w:r>
      <w:r w:rsidRPr="00563C09">
        <w:rPr>
          <w:i/>
          <w:iCs/>
        </w:rPr>
        <w:t>void ab initio</w:t>
      </w:r>
      <w:r w:rsidRPr="00563C09">
        <w:t xml:space="preserve"> under § 96.3(e);</w:t>
      </w:r>
    </w:p>
    <w:p w14:paraId="3B180838" w14:textId="46B7C2F2" w:rsidR="00563C09" w:rsidRPr="00563C09" w:rsidRDefault="00022DD5" w:rsidP="007B364B">
      <w:pPr>
        <w:numPr>
          <w:ilvl w:val="0"/>
          <w:numId w:val="46"/>
        </w:numPr>
        <w:tabs>
          <w:tab w:val="clear" w:pos="720"/>
          <w:tab w:val="left" w:pos="1080"/>
        </w:tabs>
        <w:ind w:left="1080"/>
      </w:pPr>
      <w:r w:rsidRPr="00022DD5">
        <w:t>Declare, pursuant to CPLR §</w:t>
      </w:r>
      <w:r w:rsidRPr="00022DD5">
        <w:rPr>
          <w:rFonts w:ascii="Cambria Math" w:hAnsi="Cambria Math" w:cs="Cambria Math"/>
        </w:rPr>
        <w:t> </w:t>
      </w:r>
      <w:r w:rsidRPr="00022DD5">
        <w:t>3001, that the Landlord is unfit to serve as a submeterer;</w:t>
      </w:r>
      <w:r w:rsidR="00563C09" w:rsidRPr="00563C09">
        <w:t>;</w:t>
      </w:r>
    </w:p>
    <w:p w14:paraId="0BD33011" w14:textId="77777777" w:rsidR="002951D9" w:rsidRDefault="002951D9" w:rsidP="007B364B">
      <w:pPr>
        <w:numPr>
          <w:ilvl w:val="0"/>
          <w:numId w:val="46"/>
        </w:numPr>
        <w:tabs>
          <w:tab w:val="clear" w:pos="720"/>
          <w:tab w:val="left" w:pos="1080"/>
        </w:tabs>
        <w:ind w:left="1080"/>
      </w:pPr>
      <w:r w:rsidRPr="002951D9">
        <w:t>Enjoin Respondent Landlord from assuming the responsibilities of a utility provider—including metering, billing, or disconnecting submetered service—by issuing:</w:t>
      </w:r>
    </w:p>
    <w:p w14:paraId="3A0C69FE" w14:textId="77777777" w:rsidR="002951D9" w:rsidRDefault="002951D9" w:rsidP="007B364B">
      <w:pPr>
        <w:numPr>
          <w:ilvl w:val="1"/>
          <w:numId w:val="46"/>
        </w:numPr>
        <w:tabs>
          <w:tab w:val="clear" w:pos="720"/>
          <w:tab w:val="left" w:pos="1620"/>
          <w:tab w:val="left" w:pos="1890"/>
        </w:tabs>
        <w:ind w:left="1620" w:hanging="450"/>
      </w:pPr>
      <w:r>
        <w:t>A</w:t>
      </w:r>
      <w:r w:rsidRPr="002951D9">
        <w:t xml:space="preserve"> temporary restraining order pursuant to CPLR §</w:t>
      </w:r>
      <w:r w:rsidRPr="002951D9">
        <w:rPr>
          <w:rFonts w:ascii="Cambria Math" w:hAnsi="Cambria Math" w:cs="Cambria Math"/>
        </w:rPr>
        <w:t> </w:t>
      </w:r>
      <w:r w:rsidRPr="002951D9">
        <w:t>6313,</w:t>
      </w:r>
    </w:p>
    <w:p w14:paraId="3102FDCA" w14:textId="77777777" w:rsidR="002951D9" w:rsidRDefault="002951D9" w:rsidP="007B364B">
      <w:pPr>
        <w:numPr>
          <w:ilvl w:val="1"/>
          <w:numId w:val="46"/>
        </w:numPr>
        <w:tabs>
          <w:tab w:val="clear" w:pos="720"/>
          <w:tab w:val="left" w:pos="1620"/>
          <w:tab w:val="left" w:pos="1890"/>
        </w:tabs>
        <w:ind w:left="1620" w:hanging="450"/>
      </w:pPr>
      <w:r>
        <w:t>A</w:t>
      </w:r>
      <w:r w:rsidRPr="002951D9">
        <w:t xml:space="preserve"> preliminary injunction pursuant to CPLR §</w:t>
      </w:r>
      <w:r w:rsidRPr="002951D9">
        <w:rPr>
          <w:rFonts w:ascii="Cambria Math" w:hAnsi="Cambria Math" w:cs="Cambria Math"/>
        </w:rPr>
        <w:t> </w:t>
      </w:r>
      <w:r w:rsidRPr="002951D9">
        <w:t>6301, and</w:t>
      </w:r>
    </w:p>
    <w:p w14:paraId="24001ACC" w14:textId="3D048043" w:rsidR="00563C09" w:rsidRPr="002951D9" w:rsidRDefault="002951D9" w:rsidP="007B364B">
      <w:pPr>
        <w:numPr>
          <w:ilvl w:val="1"/>
          <w:numId w:val="46"/>
        </w:numPr>
        <w:tabs>
          <w:tab w:val="clear" w:pos="720"/>
          <w:tab w:val="left" w:pos="1620"/>
          <w:tab w:val="left" w:pos="1890"/>
        </w:tabs>
        <w:ind w:left="1620" w:hanging="450"/>
      </w:pPr>
      <w:r>
        <w:t>A</w:t>
      </w:r>
      <w:r w:rsidRPr="002951D9">
        <w:t xml:space="preserve"> permanent injunction upon final judgment;</w:t>
      </w:r>
    </w:p>
    <w:p w14:paraId="3310BE68" w14:textId="77777777" w:rsidR="00563C09" w:rsidRPr="00563C09" w:rsidRDefault="00563C09" w:rsidP="007B364B">
      <w:pPr>
        <w:numPr>
          <w:ilvl w:val="0"/>
          <w:numId w:val="46"/>
        </w:numPr>
        <w:tabs>
          <w:tab w:val="clear" w:pos="720"/>
          <w:tab w:val="left" w:pos="1080"/>
        </w:tabs>
        <w:ind w:left="1080"/>
      </w:pPr>
      <w:r w:rsidRPr="00563C09">
        <w:t>Alternatively, remand the matter for a full rehearing under 16 NYCRR § 3.7 and § 3.8, requiring the Landlord to submit a compliant submetering petition subject to all mandatory safeguards of Part 96;</w:t>
      </w:r>
    </w:p>
    <w:p w14:paraId="24655B66" w14:textId="77777777" w:rsidR="00563C09" w:rsidRPr="00563C09" w:rsidRDefault="00563C09" w:rsidP="007B364B">
      <w:pPr>
        <w:numPr>
          <w:ilvl w:val="0"/>
          <w:numId w:val="46"/>
        </w:numPr>
        <w:tabs>
          <w:tab w:val="clear" w:pos="720"/>
          <w:tab w:val="left" w:pos="1080"/>
        </w:tabs>
        <w:ind w:left="1080"/>
      </w:pPr>
      <w:r w:rsidRPr="00563C09">
        <w:t xml:space="preserve">Order that any such rehearing include a new financial harm analysis using current data, a complete rate cap analysis, verified tenant notice, HEFPA implementation, rent </w:t>
      </w:r>
      <w:r w:rsidRPr="00563C09">
        <w:lastRenderedPageBreak/>
        <w:t>reduction mechanisms, and findings regarding income-based assistance households;</w:t>
      </w:r>
    </w:p>
    <w:p w14:paraId="5F7013B2" w14:textId="77777777" w:rsidR="00563C09" w:rsidRPr="00563C09" w:rsidRDefault="00563C09" w:rsidP="007B364B">
      <w:pPr>
        <w:numPr>
          <w:ilvl w:val="0"/>
          <w:numId w:val="46"/>
        </w:numPr>
        <w:tabs>
          <w:tab w:val="clear" w:pos="720"/>
          <w:tab w:val="left" w:pos="1080"/>
        </w:tabs>
        <w:ind w:left="1080"/>
      </w:pPr>
      <w:r w:rsidRPr="00563C09">
        <w:t>Grant such other and further relief as this Court deems just and proper to protect tenant rights, enforce regulatory standards, and uphold the public interest.</w:t>
      </w:r>
    </w:p>
    <w:p w14:paraId="30AA6C92" w14:textId="69B083FB" w:rsidR="004D759A" w:rsidRPr="00AC1194" w:rsidRDefault="004D759A" w:rsidP="000C4BF8">
      <w:pPr>
        <w:pStyle w:val="Heading1"/>
      </w:pPr>
      <w:bookmarkStart w:id="181" w:name="_Toc207020535"/>
      <w:bookmarkStart w:id="182" w:name="_Toc207020597"/>
      <w:bookmarkStart w:id="183" w:name="_Toc207109705"/>
      <w:r>
        <w:t>SIGNATURE BLOCK</w:t>
      </w:r>
      <w:bookmarkEnd w:id="181"/>
      <w:bookmarkEnd w:id="182"/>
      <w:bookmarkEnd w:id="183"/>
    </w:p>
    <w:p w14:paraId="1513DD2E" w14:textId="77777777" w:rsidR="004D759A" w:rsidRDefault="004D759A" w:rsidP="004D759A">
      <w:pPr>
        <w:spacing w:line="240" w:lineRule="auto"/>
      </w:pPr>
      <w:r>
        <w:t>Dated: New York, New York</w:t>
      </w:r>
    </w:p>
    <w:p w14:paraId="3618F3C5" w14:textId="54E7455E" w:rsidR="004D759A" w:rsidRDefault="004D759A" w:rsidP="004D759A">
      <w:pPr>
        <w:spacing w:line="240" w:lineRule="auto"/>
      </w:pPr>
      <w:r>
        <w:tab/>
        <w:t>August 25, 2025</w:t>
      </w:r>
    </w:p>
    <w:p w14:paraId="764CA009" w14:textId="77777777" w:rsidR="004D759A" w:rsidRDefault="004D759A" w:rsidP="004D759A">
      <w:pPr>
        <w:spacing w:line="240" w:lineRule="auto"/>
      </w:pPr>
      <w:r>
        <w:tab/>
      </w:r>
      <w:r>
        <w:tab/>
      </w:r>
      <w:r>
        <w:tab/>
      </w:r>
      <w:r>
        <w:tab/>
      </w:r>
      <w:r>
        <w:tab/>
      </w:r>
      <w:r>
        <w:tab/>
      </w:r>
      <w:r>
        <w:tab/>
      </w:r>
      <w:r>
        <w:rPr>
          <w:noProof/>
          <w14:ligatures w14:val="standardContextual"/>
        </w:rPr>
        <w:drawing>
          <wp:inline distT="0" distB="0" distL="0" distR="0" wp14:anchorId="5FD53DD9" wp14:editId="12B29995">
            <wp:extent cx="1216933" cy="664210"/>
            <wp:effectExtent l="0" t="0" r="2540" b="2540"/>
            <wp:docPr id="810575417"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75417" name="Picture 2" descr="A signatur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7671" cy="664613"/>
                    </a:xfrm>
                    <a:prstGeom prst="rect">
                      <a:avLst/>
                    </a:prstGeom>
                  </pic:spPr>
                </pic:pic>
              </a:graphicData>
            </a:graphic>
          </wp:inline>
        </w:drawing>
      </w:r>
    </w:p>
    <w:p w14:paraId="74A46071" w14:textId="77777777" w:rsidR="004D759A" w:rsidRDefault="004D759A" w:rsidP="004D759A">
      <w:pPr>
        <w:spacing w:line="240" w:lineRule="auto"/>
      </w:pPr>
      <w:r>
        <w:tab/>
      </w:r>
      <w:r>
        <w:tab/>
      </w:r>
      <w:r>
        <w:tab/>
      </w:r>
      <w:r>
        <w:tab/>
      </w:r>
      <w:r>
        <w:tab/>
      </w:r>
      <w:r>
        <w:tab/>
      </w:r>
      <w:r>
        <w:tab/>
        <w:t>_____________________________</w:t>
      </w:r>
    </w:p>
    <w:p w14:paraId="6114D3E6" w14:textId="77777777" w:rsidR="004D759A" w:rsidRDefault="004D759A" w:rsidP="004D759A">
      <w:pPr>
        <w:spacing w:line="240" w:lineRule="auto"/>
        <w:ind w:left="5040"/>
      </w:pPr>
      <w:r>
        <w:t>F. William Salo, Esq.</w:t>
      </w:r>
    </w:p>
    <w:p w14:paraId="7711FA57" w14:textId="77777777" w:rsidR="004D759A" w:rsidRPr="004F6F34" w:rsidRDefault="004D759A" w:rsidP="004D759A">
      <w:pPr>
        <w:spacing w:line="240" w:lineRule="auto"/>
        <w:ind w:left="5040"/>
        <w:rPr>
          <w:i/>
          <w:iCs/>
        </w:rPr>
      </w:pPr>
      <w:r w:rsidRPr="004F6F34">
        <w:rPr>
          <w:i/>
          <w:iCs/>
        </w:rPr>
        <w:t>Attorney for P</w:t>
      </w:r>
      <w:r>
        <w:rPr>
          <w:i/>
          <w:iCs/>
        </w:rPr>
        <w:t>etitioners</w:t>
      </w:r>
    </w:p>
    <w:p w14:paraId="16D4E656" w14:textId="7716BD2A" w:rsidR="004D759A" w:rsidRDefault="004D759A" w:rsidP="004D759A">
      <w:pPr>
        <w:spacing w:line="240" w:lineRule="auto"/>
        <w:ind w:left="5040"/>
      </w:pPr>
      <w:r>
        <w:t>1295 Fifth Avenue, No. 18C</w:t>
      </w:r>
    </w:p>
    <w:p w14:paraId="009522D9" w14:textId="77777777" w:rsidR="004D759A" w:rsidRDefault="004D759A" w:rsidP="004D759A">
      <w:pPr>
        <w:spacing w:line="240" w:lineRule="auto"/>
        <w:ind w:left="5040"/>
      </w:pPr>
      <w:r>
        <w:t>New York, NY 10029</w:t>
      </w:r>
    </w:p>
    <w:p w14:paraId="74669BBF" w14:textId="77777777" w:rsidR="004D759A" w:rsidRDefault="004D759A" w:rsidP="004D759A">
      <w:pPr>
        <w:spacing w:line="240" w:lineRule="auto"/>
        <w:ind w:left="5040"/>
      </w:pPr>
      <w:r>
        <w:t>Cel:  917-968-2517</w:t>
      </w:r>
    </w:p>
    <w:p w14:paraId="1F71E214" w14:textId="77777777" w:rsidR="004D759A" w:rsidRDefault="004D759A" w:rsidP="004D759A">
      <w:pPr>
        <w:spacing w:line="240" w:lineRule="auto"/>
        <w:ind w:left="5040"/>
      </w:pPr>
      <w:r>
        <w:t>Tel:  212-417-3050</w:t>
      </w:r>
    </w:p>
    <w:p w14:paraId="6EFAE9A9" w14:textId="77777777" w:rsidR="004D759A" w:rsidRDefault="004D759A" w:rsidP="004D759A">
      <w:pPr>
        <w:spacing w:line="240" w:lineRule="auto"/>
        <w:ind w:left="5040"/>
      </w:pPr>
      <w:r>
        <w:t>Fax:  212-517-3055</w:t>
      </w:r>
    </w:p>
    <w:p w14:paraId="2AE2F4C7" w14:textId="590C7846" w:rsidR="004D759A" w:rsidRDefault="004D759A" w:rsidP="004D759A">
      <w:pPr>
        <w:spacing w:line="240" w:lineRule="auto"/>
        <w:ind w:left="5040"/>
      </w:pPr>
      <w:r>
        <w:t xml:space="preserve">Email:  </w:t>
      </w:r>
      <w:r w:rsidRPr="004D759A">
        <w:t>billsalo@salolaw.com</w:t>
      </w:r>
    </w:p>
    <w:p w14:paraId="0289AE75" w14:textId="77777777" w:rsidR="00722B4C" w:rsidRDefault="00722B4C" w:rsidP="005A3FB5">
      <w:pPr>
        <w:tabs>
          <w:tab w:val="clear" w:pos="720"/>
          <w:tab w:val="left" w:pos="1080"/>
        </w:tabs>
        <w:ind w:left="540"/>
      </w:pPr>
    </w:p>
    <w:sectPr w:rsidR="00722B4C" w:rsidSect="00474E4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7DE39" w14:textId="77777777" w:rsidR="004F655B" w:rsidRDefault="004F655B" w:rsidP="00AE007D">
      <w:pPr>
        <w:spacing w:line="240" w:lineRule="auto"/>
      </w:pPr>
      <w:r>
        <w:separator/>
      </w:r>
    </w:p>
  </w:endnote>
  <w:endnote w:type="continuationSeparator" w:id="0">
    <w:p w14:paraId="4411B1D6" w14:textId="77777777" w:rsidR="004F655B" w:rsidRDefault="004F655B" w:rsidP="00AE0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luna">
    <w:altName w:val="Courier New"/>
    <w:panose1 w:val="00000000000000000000"/>
    <w:charset w:val="00"/>
    <w:family w:val="modern"/>
    <w:notTrueType/>
    <w:pitch w:val="variable"/>
    <w:sig w:usb0="00000001"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071683"/>
      <w:docPartObj>
        <w:docPartGallery w:val="Page Numbers (Bottom of Page)"/>
        <w:docPartUnique/>
      </w:docPartObj>
    </w:sdtPr>
    <w:sdtEndPr>
      <w:rPr>
        <w:noProof/>
      </w:rPr>
    </w:sdtEndPr>
    <w:sdtContent>
      <w:p w14:paraId="2A0E84F9" w14:textId="22770DA0" w:rsidR="00815EA4" w:rsidRDefault="00815EA4">
        <w:pPr>
          <w:pStyle w:val="Footer"/>
          <w:jc w:val="center"/>
        </w:pPr>
        <w:r>
          <w:fldChar w:fldCharType="begin"/>
        </w:r>
        <w:r>
          <w:instrText xml:space="preserve"> PAGE   \* MERGEFORMAT </w:instrText>
        </w:r>
        <w:r>
          <w:fldChar w:fldCharType="separate"/>
        </w:r>
        <w:r w:rsidR="00CF4680">
          <w:rPr>
            <w:noProof/>
          </w:rPr>
          <w:t>iii</w:t>
        </w:r>
        <w:r>
          <w:rPr>
            <w:noProof/>
          </w:rPr>
          <w:fldChar w:fldCharType="end"/>
        </w:r>
      </w:p>
    </w:sdtContent>
  </w:sdt>
  <w:p w14:paraId="70B394F1" w14:textId="77777777" w:rsidR="00AE007D" w:rsidRDefault="00AE0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20C8C" w14:textId="4364B9D3" w:rsidR="00815EA4" w:rsidRDefault="00815EA4">
    <w:pPr>
      <w:pStyle w:val="Footer"/>
      <w:jc w:val="center"/>
    </w:pPr>
  </w:p>
  <w:p w14:paraId="48226134" w14:textId="77777777" w:rsidR="00474E40" w:rsidRDefault="0047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D4CB2" w14:textId="77777777" w:rsidR="004F655B" w:rsidRDefault="004F655B" w:rsidP="00AE007D">
      <w:pPr>
        <w:spacing w:line="240" w:lineRule="auto"/>
      </w:pPr>
      <w:r>
        <w:separator/>
      </w:r>
    </w:p>
  </w:footnote>
  <w:footnote w:type="continuationSeparator" w:id="0">
    <w:p w14:paraId="35B64A91" w14:textId="77777777" w:rsidR="004F655B" w:rsidRDefault="004F655B" w:rsidP="00AE00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0769"/>
    <w:multiLevelType w:val="multilevel"/>
    <w:tmpl w:val="DC962774"/>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74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4F210B"/>
    <w:multiLevelType w:val="multilevel"/>
    <w:tmpl w:val="F6A23E02"/>
    <w:lvl w:ilvl="0">
      <w:start w:val="8"/>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0FA056B"/>
    <w:multiLevelType w:val="multilevel"/>
    <w:tmpl w:val="2054B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864EE"/>
    <w:multiLevelType w:val="multilevel"/>
    <w:tmpl w:val="B8F635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058E6"/>
    <w:multiLevelType w:val="multilevel"/>
    <w:tmpl w:val="6A4EB122"/>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13A3F"/>
    <w:multiLevelType w:val="multilevel"/>
    <w:tmpl w:val="F6582AA2"/>
    <w:lvl w:ilvl="0">
      <w:start w:val="1"/>
      <w:numFmt w:val="upperRoman"/>
      <w:pStyle w:val="Heading2"/>
      <w:lvlText w:val="%1."/>
      <w:lvlJc w:val="left"/>
      <w:pPr>
        <w:ind w:left="0" w:firstLine="0"/>
      </w:pPr>
      <w:rPr>
        <w:rFonts w:hint="default"/>
        <w:b/>
        <w:bCs/>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3E21108"/>
    <w:multiLevelType w:val="multilevel"/>
    <w:tmpl w:val="2C3E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11237"/>
    <w:multiLevelType w:val="multilevel"/>
    <w:tmpl w:val="B784B6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76B03"/>
    <w:multiLevelType w:val="multilevel"/>
    <w:tmpl w:val="2C6CAA76"/>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22933"/>
    <w:multiLevelType w:val="multilevel"/>
    <w:tmpl w:val="77C2BDAE"/>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245C4"/>
    <w:multiLevelType w:val="hybridMultilevel"/>
    <w:tmpl w:val="4AECB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0A19FF"/>
    <w:multiLevelType w:val="multilevel"/>
    <w:tmpl w:val="287A4582"/>
    <w:lvl w:ilvl="0">
      <w:start w:val="1"/>
      <w:numFmt w:val="decimal"/>
      <w:lvlText w:val="%1."/>
      <w:lvlJc w:val="left"/>
      <w:pPr>
        <w:tabs>
          <w:tab w:val="num" w:pos="720"/>
        </w:tabs>
        <w:ind w:left="720" w:hanging="360"/>
      </w:pPr>
    </w:lvl>
    <w:lvl w:ilvl="1">
      <w:start w:val="1"/>
      <w:numFmt w:val="decimal"/>
      <w:lvlText w:val="%2)"/>
      <w:lvlJc w:val="lef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66517"/>
    <w:multiLevelType w:val="multilevel"/>
    <w:tmpl w:val="287A4582"/>
    <w:lvl w:ilvl="0">
      <w:start w:val="1"/>
      <w:numFmt w:val="decimal"/>
      <w:lvlText w:val="%1."/>
      <w:lvlJc w:val="left"/>
      <w:pPr>
        <w:tabs>
          <w:tab w:val="num" w:pos="720"/>
        </w:tabs>
        <w:ind w:left="720" w:hanging="360"/>
      </w:pPr>
    </w:lvl>
    <w:lvl w:ilvl="1">
      <w:start w:val="1"/>
      <w:numFmt w:val="decimal"/>
      <w:lvlText w:val="%2)"/>
      <w:lvlJc w:val="lef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F73AD"/>
    <w:multiLevelType w:val="multilevel"/>
    <w:tmpl w:val="15BC3D8A"/>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C275B"/>
    <w:multiLevelType w:val="multilevel"/>
    <w:tmpl w:val="0DD03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775783E"/>
    <w:multiLevelType w:val="multilevel"/>
    <w:tmpl w:val="291C8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0B3ED3"/>
    <w:multiLevelType w:val="multilevel"/>
    <w:tmpl w:val="D7C4359E"/>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064D8"/>
    <w:multiLevelType w:val="multilevel"/>
    <w:tmpl w:val="9AB817B0"/>
    <w:lvl w:ilvl="0">
      <w:start w:val="8"/>
      <w:numFmt w:val="upperRoman"/>
      <w:lvlText w:val="%1."/>
      <w:lvlJc w:val="left"/>
      <w:pPr>
        <w:ind w:left="0" w:firstLine="0"/>
      </w:pPr>
      <w:rPr>
        <w:rFonts w:hint="default"/>
      </w:rPr>
    </w:lvl>
    <w:lvl w:ilvl="1">
      <w:start w:val="1"/>
      <w:numFmt w:val="upperLetter"/>
      <w:pStyle w:val="Heading3"/>
      <w:lvlText w:val="%2."/>
      <w:lvlJc w:val="left"/>
      <w:pPr>
        <w:ind w:left="720" w:firstLine="0"/>
      </w:pPr>
      <w:rPr>
        <w:rFonts w:hint="default"/>
        <w:b/>
        <w:bCs/>
      </w:rPr>
    </w:lvl>
    <w:lvl w:ilvl="2">
      <w:start w:val="1"/>
      <w:numFmt w:val="decimal"/>
      <w:pStyle w:val="Heading4"/>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57A3E0D"/>
    <w:multiLevelType w:val="multilevel"/>
    <w:tmpl w:val="7976289C"/>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86C8B"/>
    <w:multiLevelType w:val="multilevel"/>
    <w:tmpl w:val="3878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E02633"/>
    <w:multiLevelType w:val="multilevel"/>
    <w:tmpl w:val="5D2CED08"/>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117BAF"/>
    <w:multiLevelType w:val="multilevel"/>
    <w:tmpl w:val="287A4582"/>
    <w:lvl w:ilvl="0">
      <w:start w:val="1"/>
      <w:numFmt w:val="decimal"/>
      <w:lvlText w:val="%1."/>
      <w:lvlJc w:val="left"/>
      <w:pPr>
        <w:tabs>
          <w:tab w:val="num" w:pos="720"/>
        </w:tabs>
        <w:ind w:left="720" w:hanging="360"/>
      </w:pPr>
    </w:lvl>
    <w:lvl w:ilvl="1">
      <w:start w:val="1"/>
      <w:numFmt w:val="decimal"/>
      <w:lvlText w:val="%2)"/>
      <w:lvlJc w:val="lef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33DA9"/>
    <w:multiLevelType w:val="multilevel"/>
    <w:tmpl w:val="9E361250"/>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04A0D"/>
    <w:multiLevelType w:val="multilevel"/>
    <w:tmpl w:val="287A4582"/>
    <w:lvl w:ilvl="0">
      <w:start w:val="1"/>
      <w:numFmt w:val="decimal"/>
      <w:lvlText w:val="%1."/>
      <w:lvlJc w:val="left"/>
      <w:pPr>
        <w:tabs>
          <w:tab w:val="num" w:pos="720"/>
        </w:tabs>
        <w:ind w:left="720" w:hanging="360"/>
      </w:pPr>
    </w:lvl>
    <w:lvl w:ilvl="1">
      <w:start w:val="1"/>
      <w:numFmt w:val="decimal"/>
      <w:lvlText w:val="%2)"/>
      <w:lvlJc w:val="left"/>
      <w:pPr>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16CA"/>
    <w:multiLevelType w:val="multilevel"/>
    <w:tmpl w:val="F32C5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3403C12"/>
    <w:multiLevelType w:val="multilevel"/>
    <w:tmpl w:val="6352ADEE"/>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8052DD"/>
    <w:multiLevelType w:val="multilevel"/>
    <w:tmpl w:val="596C077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480904"/>
    <w:multiLevelType w:val="multilevel"/>
    <w:tmpl w:val="11D0ADF2"/>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2"/>
  </w:num>
  <w:num w:numId="4">
    <w:abstractNumId w:val="2"/>
  </w:num>
  <w:num w:numId="5">
    <w:abstractNumId w:val="15"/>
  </w:num>
  <w:num w:numId="6">
    <w:abstractNumId w:val="2"/>
  </w:num>
  <w:num w:numId="7">
    <w:abstractNumId w:val="2"/>
  </w:num>
  <w:num w:numId="8">
    <w:abstractNumId w:val="2"/>
  </w:num>
  <w:num w:numId="9">
    <w:abstractNumId w:val="2"/>
  </w:num>
  <w:num w:numId="10">
    <w:abstractNumId w:val="2"/>
  </w:num>
  <w:num w:numId="11">
    <w:abstractNumId w:val="18"/>
  </w:num>
  <w:num w:numId="12">
    <w:abstractNumId w:val="18"/>
  </w:num>
  <w:num w:numId="13">
    <w:abstractNumId w:val="18"/>
  </w:num>
  <w:num w:numId="14">
    <w:abstractNumId w:val="6"/>
  </w:num>
  <w:num w:numId="15">
    <w:abstractNumId w:val="12"/>
  </w:num>
  <w:num w:numId="16">
    <w:abstractNumId w:val="3"/>
  </w:num>
  <w:num w:numId="17">
    <w:abstractNumId w:val="4"/>
  </w:num>
  <w:num w:numId="18">
    <w:abstractNumId w:val="16"/>
  </w:num>
  <w:num w:numId="19">
    <w:abstractNumId w:val="11"/>
  </w:num>
  <w:num w:numId="20">
    <w:abstractNumId w:val="1"/>
  </w:num>
  <w:num w:numId="21">
    <w:abstractNumId w:val="13"/>
  </w:num>
  <w:num w:numId="22">
    <w:abstractNumId w:val="24"/>
  </w:num>
  <w:num w:numId="23">
    <w:abstractNumId w:val="2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0"/>
  </w:num>
  <w:num w:numId="3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7"/>
  </w:num>
  <w:num w:numId="3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6"/>
  </w:num>
  <w:num w:numId="40">
    <w:abstractNumId w:val="21"/>
  </w:num>
  <w:num w:numId="41">
    <w:abstractNumId w:val="14"/>
  </w:num>
  <w:num w:numId="4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27"/>
  </w:num>
  <w:num w:numId="4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74"/>
    <w:rsid w:val="00000147"/>
    <w:rsid w:val="00002F65"/>
    <w:rsid w:val="00006635"/>
    <w:rsid w:val="00006D81"/>
    <w:rsid w:val="00012538"/>
    <w:rsid w:val="00014196"/>
    <w:rsid w:val="00015370"/>
    <w:rsid w:val="00016594"/>
    <w:rsid w:val="00021DEF"/>
    <w:rsid w:val="00022DD5"/>
    <w:rsid w:val="00023AF7"/>
    <w:rsid w:val="000244E9"/>
    <w:rsid w:val="00025974"/>
    <w:rsid w:val="00025C0E"/>
    <w:rsid w:val="00026502"/>
    <w:rsid w:val="00030029"/>
    <w:rsid w:val="00031171"/>
    <w:rsid w:val="00033E05"/>
    <w:rsid w:val="0003426B"/>
    <w:rsid w:val="0003539B"/>
    <w:rsid w:val="000358AF"/>
    <w:rsid w:val="000358FB"/>
    <w:rsid w:val="000364A1"/>
    <w:rsid w:val="00036BC2"/>
    <w:rsid w:val="00040AC7"/>
    <w:rsid w:val="00042AB2"/>
    <w:rsid w:val="00042CDD"/>
    <w:rsid w:val="00043BB5"/>
    <w:rsid w:val="00044849"/>
    <w:rsid w:val="00044DFF"/>
    <w:rsid w:val="000468D6"/>
    <w:rsid w:val="00046D1B"/>
    <w:rsid w:val="00051695"/>
    <w:rsid w:val="00051B7F"/>
    <w:rsid w:val="000549F3"/>
    <w:rsid w:val="00055C7F"/>
    <w:rsid w:val="0005656D"/>
    <w:rsid w:val="00056909"/>
    <w:rsid w:val="000578E5"/>
    <w:rsid w:val="0006028A"/>
    <w:rsid w:val="00060C08"/>
    <w:rsid w:val="00062E8A"/>
    <w:rsid w:val="00063304"/>
    <w:rsid w:val="00064B94"/>
    <w:rsid w:val="00066683"/>
    <w:rsid w:val="00066F7C"/>
    <w:rsid w:val="00067AE7"/>
    <w:rsid w:val="000705F2"/>
    <w:rsid w:val="00070C12"/>
    <w:rsid w:val="00072CF1"/>
    <w:rsid w:val="00072F98"/>
    <w:rsid w:val="000741B3"/>
    <w:rsid w:val="00074386"/>
    <w:rsid w:val="00074B4F"/>
    <w:rsid w:val="00076B17"/>
    <w:rsid w:val="00080D48"/>
    <w:rsid w:val="00080D82"/>
    <w:rsid w:val="0008208F"/>
    <w:rsid w:val="00083437"/>
    <w:rsid w:val="00083E58"/>
    <w:rsid w:val="00084952"/>
    <w:rsid w:val="00085292"/>
    <w:rsid w:val="00087F2B"/>
    <w:rsid w:val="00090C23"/>
    <w:rsid w:val="000927BE"/>
    <w:rsid w:val="000967A5"/>
    <w:rsid w:val="000A089B"/>
    <w:rsid w:val="000A0915"/>
    <w:rsid w:val="000A16EF"/>
    <w:rsid w:val="000A2581"/>
    <w:rsid w:val="000A2F4F"/>
    <w:rsid w:val="000A373B"/>
    <w:rsid w:val="000A5AEA"/>
    <w:rsid w:val="000A6FBE"/>
    <w:rsid w:val="000A754A"/>
    <w:rsid w:val="000B02F7"/>
    <w:rsid w:val="000B1C20"/>
    <w:rsid w:val="000B2605"/>
    <w:rsid w:val="000B26A5"/>
    <w:rsid w:val="000B28FF"/>
    <w:rsid w:val="000B2CB7"/>
    <w:rsid w:val="000B2EBB"/>
    <w:rsid w:val="000B388C"/>
    <w:rsid w:val="000B3C2E"/>
    <w:rsid w:val="000B5184"/>
    <w:rsid w:val="000B5EEA"/>
    <w:rsid w:val="000C04D8"/>
    <w:rsid w:val="000C4BF8"/>
    <w:rsid w:val="000D053C"/>
    <w:rsid w:val="000D3226"/>
    <w:rsid w:val="000D3235"/>
    <w:rsid w:val="000D3F92"/>
    <w:rsid w:val="000D5CDC"/>
    <w:rsid w:val="000D6075"/>
    <w:rsid w:val="000D6BFD"/>
    <w:rsid w:val="000E0433"/>
    <w:rsid w:val="000E6361"/>
    <w:rsid w:val="000E75B2"/>
    <w:rsid w:val="000E783F"/>
    <w:rsid w:val="000F113D"/>
    <w:rsid w:val="000F3EDB"/>
    <w:rsid w:val="000F3F7C"/>
    <w:rsid w:val="000F519F"/>
    <w:rsid w:val="000F62DF"/>
    <w:rsid w:val="000F75DE"/>
    <w:rsid w:val="001006D4"/>
    <w:rsid w:val="0010607F"/>
    <w:rsid w:val="0010772A"/>
    <w:rsid w:val="001107B6"/>
    <w:rsid w:val="00111F9B"/>
    <w:rsid w:val="0011374A"/>
    <w:rsid w:val="001148BE"/>
    <w:rsid w:val="00114C25"/>
    <w:rsid w:val="00114DC7"/>
    <w:rsid w:val="0011536F"/>
    <w:rsid w:val="001160EF"/>
    <w:rsid w:val="00117759"/>
    <w:rsid w:val="00117C62"/>
    <w:rsid w:val="00122063"/>
    <w:rsid w:val="001225B2"/>
    <w:rsid w:val="00122924"/>
    <w:rsid w:val="00123639"/>
    <w:rsid w:val="00123B0E"/>
    <w:rsid w:val="00132865"/>
    <w:rsid w:val="00132B60"/>
    <w:rsid w:val="0013391D"/>
    <w:rsid w:val="00133CBC"/>
    <w:rsid w:val="001341CA"/>
    <w:rsid w:val="001353D9"/>
    <w:rsid w:val="00137561"/>
    <w:rsid w:val="00143345"/>
    <w:rsid w:val="0014532E"/>
    <w:rsid w:val="001477F6"/>
    <w:rsid w:val="00151FA1"/>
    <w:rsid w:val="001525FB"/>
    <w:rsid w:val="00153A93"/>
    <w:rsid w:val="001547C7"/>
    <w:rsid w:val="00154999"/>
    <w:rsid w:val="0015525E"/>
    <w:rsid w:val="0015555F"/>
    <w:rsid w:val="00155DCE"/>
    <w:rsid w:val="0015609C"/>
    <w:rsid w:val="00157EAA"/>
    <w:rsid w:val="001601A3"/>
    <w:rsid w:val="001603E4"/>
    <w:rsid w:val="00161F1D"/>
    <w:rsid w:val="0016528C"/>
    <w:rsid w:val="00165C95"/>
    <w:rsid w:val="0016680A"/>
    <w:rsid w:val="00170E0C"/>
    <w:rsid w:val="0017149D"/>
    <w:rsid w:val="0017396E"/>
    <w:rsid w:val="00174562"/>
    <w:rsid w:val="00175B9F"/>
    <w:rsid w:val="00175C5B"/>
    <w:rsid w:val="00176741"/>
    <w:rsid w:val="00176BD0"/>
    <w:rsid w:val="001776CA"/>
    <w:rsid w:val="00180157"/>
    <w:rsid w:val="00180A5F"/>
    <w:rsid w:val="00181030"/>
    <w:rsid w:val="00182240"/>
    <w:rsid w:val="00183B79"/>
    <w:rsid w:val="00185CAD"/>
    <w:rsid w:val="00190390"/>
    <w:rsid w:val="00192A3D"/>
    <w:rsid w:val="00193B79"/>
    <w:rsid w:val="00195985"/>
    <w:rsid w:val="00197D5C"/>
    <w:rsid w:val="00197EC0"/>
    <w:rsid w:val="001A4912"/>
    <w:rsid w:val="001A6817"/>
    <w:rsid w:val="001A7FF5"/>
    <w:rsid w:val="001B1007"/>
    <w:rsid w:val="001B1868"/>
    <w:rsid w:val="001B3C45"/>
    <w:rsid w:val="001B7180"/>
    <w:rsid w:val="001B7CE1"/>
    <w:rsid w:val="001B7F58"/>
    <w:rsid w:val="001C023B"/>
    <w:rsid w:val="001C4C09"/>
    <w:rsid w:val="001C5C54"/>
    <w:rsid w:val="001C62DE"/>
    <w:rsid w:val="001C6F58"/>
    <w:rsid w:val="001C7330"/>
    <w:rsid w:val="001D5C8F"/>
    <w:rsid w:val="001D5E43"/>
    <w:rsid w:val="001E2CA8"/>
    <w:rsid w:val="001E3A48"/>
    <w:rsid w:val="001E4C3E"/>
    <w:rsid w:val="001E7136"/>
    <w:rsid w:val="001F0790"/>
    <w:rsid w:val="001F39AB"/>
    <w:rsid w:val="001F555A"/>
    <w:rsid w:val="001F5784"/>
    <w:rsid w:val="001F67BD"/>
    <w:rsid w:val="0020036C"/>
    <w:rsid w:val="00201D00"/>
    <w:rsid w:val="00203837"/>
    <w:rsid w:val="00203F6A"/>
    <w:rsid w:val="00205E9F"/>
    <w:rsid w:val="00206DF7"/>
    <w:rsid w:val="002070AB"/>
    <w:rsid w:val="00207E1C"/>
    <w:rsid w:val="00210A81"/>
    <w:rsid w:val="002117D8"/>
    <w:rsid w:val="00215577"/>
    <w:rsid w:val="0021598C"/>
    <w:rsid w:val="002162C7"/>
    <w:rsid w:val="002206F6"/>
    <w:rsid w:val="0022119D"/>
    <w:rsid w:val="00221AFB"/>
    <w:rsid w:val="0022363B"/>
    <w:rsid w:val="00224733"/>
    <w:rsid w:val="00230AD7"/>
    <w:rsid w:val="002320CA"/>
    <w:rsid w:val="0023284C"/>
    <w:rsid w:val="0023305F"/>
    <w:rsid w:val="00234530"/>
    <w:rsid w:val="0023510B"/>
    <w:rsid w:val="0023528A"/>
    <w:rsid w:val="002360A2"/>
    <w:rsid w:val="0023643F"/>
    <w:rsid w:val="00237620"/>
    <w:rsid w:val="00237A77"/>
    <w:rsid w:val="00240956"/>
    <w:rsid w:val="00240C20"/>
    <w:rsid w:val="00241BFB"/>
    <w:rsid w:val="002422D0"/>
    <w:rsid w:val="002424EB"/>
    <w:rsid w:val="00242854"/>
    <w:rsid w:val="00242BDB"/>
    <w:rsid w:val="00243E4F"/>
    <w:rsid w:val="00244144"/>
    <w:rsid w:val="0024503E"/>
    <w:rsid w:val="0024575D"/>
    <w:rsid w:val="0024711D"/>
    <w:rsid w:val="00251014"/>
    <w:rsid w:val="00251846"/>
    <w:rsid w:val="00251F2F"/>
    <w:rsid w:val="00254599"/>
    <w:rsid w:val="00255B8E"/>
    <w:rsid w:val="00255CBC"/>
    <w:rsid w:val="002572E7"/>
    <w:rsid w:val="00260646"/>
    <w:rsid w:val="00261CEC"/>
    <w:rsid w:val="00264882"/>
    <w:rsid w:val="00266A4D"/>
    <w:rsid w:val="0027012D"/>
    <w:rsid w:val="00270DB2"/>
    <w:rsid w:val="00271739"/>
    <w:rsid w:val="00275CA3"/>
    <w:rsid w:val="002764D6"/>
    <w:rsid w:val="002773EB"/>
    <w:rsid w:val="00277F62"/>
    <w:rsid w:val="00281771"/>
    <w:rsid w:val="00281D19"/>
    <w:rsid w:val="00283915"/>
    <w:rsid w:val="00284F8E"/>
    <w:rsid w:val="002852F3"/>
    <w:rsid w:val="00285633"/>
    <w:rsid w:val="00287166"/>
    <w:rsid w:val="0029017F"/>
    <w:rsid w:val="0029270A"/>
    <w:rsid w:val="00292E5F"/>
    <w:rsid w:val="00294606"/>
    <w:rsid w:val="002951D9"/>
    <w:rsid w:val="00295372"/>
    <w:rsid w:val="002A1644"/>
    <w:rsid w:val="002A1BF6"/>
    <w:rsid w:val="002A29F6"/>
    <w:rsid w:val="002A4976"/>
    <w:rsid w:val="002A72FE"/>
    <w:rsid w:val="002A7658"/>
    <w:rsid w:val="002B0751"/>
    <w:rsid w:val="002B0759"/>
    <w:rsid w:val="002B2125"/>
    <w:rsid w:val="002B4C65"/>
    <w:rsid w:val="002B5435"/>
    <w:rsid w:val="002B6700"/>
    <w:rsid w:val="002B671A"/>
    <w:rsid w:val="002C067D"/>
    <w:rsid w:val="002C06DF"/>
    <w:rsid w:val="002C267C"/>
    <w:rsid w:val="002C359D"/>
    <w:rsid w:val="002C4A22"/>
    <w:rsid w:val="002C4C44"/>
    <w:rsid w:val="002C66F0"/>
    <w:rsid w:val="002C6A54"/>
    <w:rsid w:val="002C6BBC"/>
    <w:rsid w:val="002D1639"/>
    <w:rsid w:val="002D1769"/>
    <w:rsid w:val="002D2E4E"/>
    <w:rsid w:val="002D3B2E"/>
    <w:rsid w:val="002D3F91"/>
    <w:rsid w:val="002D4C0D"/>
    <w:rsid w:val="002E0E3B"/>
    <w:rsid w:val="002E1917"/>
    <w:rsid w:val="002E2569"/>
    <w:rsid w:val="002E4D77"/>
    <w:rsid w:val="002E6DB2"/>
    <w:rsid w:val="002E752F"/>
    <w:rsid w:val="002E7ED0"/>
    <w:rsid w:val="002F0224"/>
    <w:rsid w:val="002F1181"/>
    <w:rsid w:val="002F3F59"/>
    <w:rsid w:val="002F47AC"/>
    <w:rsid w:val="002F4CA4"/>
    <w:rsid w:val="002F5563"/>
    <w:rsid w:val="00301813"/>
    <w:rsid w:val="00302742"/>
    <w:rsid w:val="003049BE"/>
    <w:rsid w:val="00304D35"/>
    <w:rsid w:val="0030621F"/>
    <w:rsid w:val="00307069"/>
    <w:rsid w:val="0031151C"/>
    <w:rsid w:val="003122F4"/>
    <w:rsid w:val="00312626"/>
    <w:rsid w:val="00313CAB"/>
    <w:rsid w:val="003148C3"/>
    <w:rsid w:val="00314EB3"/>
    <w:rsid w:val="003176A8"/>
    <w:rsid w:val="00317781"/>
    <w:rsid w:val="0032040D"/>
    <w:rsid w:val="00321742"/>
    <w:rsid w:val="00322CAF"/>
    <w:rsid w:val="0032501F"/>
    <w:rsid w:val="00325BCE"/>
    <w:rsid w:val="00325DB3"/>
    <w:rsid w:val="0032796B"/>
    <w:rsid w:val="00332532"/>
    <w:rsid w:val="0033536C"/>
    <w:rsid w:val="0033554D"/>
    <w:rsid w:val="00335D22"/>
    <w:rsid w:val="00335DE6"/>
    <w:rsid w:val="0033657C"/>
    <w:rsid w:val="003366FA"/>
    <w:rsid w:val="0033720C"/>
    <w:rsid w:val="0033745B"/>
    <w:rsid w:val="00337F42"/>
    <w:rsid w:val="00340684"/>
    <w:rsid w:val="00340BAD"/>
    <w:rsid w:val="00341A7E"/>
    <w:rsid w:val="003426E1"/>
    <w:rsid w:val="00343D04"/>
    <w:rsid w:val="003440C5"/>
    <w:rsid w:val="00345443"/>
    <w:rsid w:val="00347A65"/>
    <w:rsid w:val="0035290E"/>
    <w:rsid w:val="003531C5"/>
    <w:rsid w:val="00354F70"/>
    <w:rsid w:val="0035611F"/>
    <w:rsid w:val="003564F3"/>
    <w:rsid w:val="00356ACE"/>
    <w:rsid w:val="00360A6A"/>
    <w:rsid w:val="00360E41"/>
    <w:rsid w:val="003611DB"/>
    <w:rsid w:val="003623E0"/>
    <w:rsid w:val="0036248A"/>
    <w:rsid w:val="00363064"/>
    <w:rsid w:val="00365917"/>
    <w:rsid w:val="00366CD8"/>
    <w:rsid w:val="00366E17"/>
    <w:rsid w:val="00367D59"/>
    <w:rsid w:val="003730DE"/>
    <w:rsid w:val="003737B8"/>
    <w:rsid w:val="00375438"/>
    <w:rsid w:val="00376477"/>
    <w:rsid w:val="00377F90"/>
    <w:rsid w:val="0038534D"/>
    <w:rsid w:val="00391D37"/>
    <w:rsid w:val="00392278"/>
    <w:rsid w:val="003936E4"/>
    <w:rsid w:val="003939E2"/>
    <w:rsid w:val="003940FC"/>
    <w:rsid w:val="00394AD2"/>
    <w:rsid w:val="00395AEF"/>
    <w:rsid w:val="003962CF"/>
    <w:rsid w:val="003963FC"/>
    <w:rsid w:val="003971A9"/>
    <w:rsid w:val="00397541"/>
    <w:rsid w:val="003979C3"/>
    <w:rsid w:val="003A2343"/>
    <w:rsid w:val="003A34D2"/>
    <w:rsid w:val="003A4686"/>
    <w:rsid w:val="003A53EA"/>
    <w:rsid w:val="003A5C93"/>
    <w:rsid w:val="003B015D"/>
    <w:rsid w:val="003B1690"/>
    <w:rsid w:val="003B189D"/>
    <w:rsid w:val="003B1CCA"/>
    <w:rsid w:val="003B1DB2"/>
    <w:rsid w:val="003B31A5"/>
    <w:rsid w:val="003B4884"/>
    <w:rsid w:val="003B76DD"/>
    <w:rsid w:val="003C10CE"/>
    <w:rsid w:val="003C3D20"/>
    <w:rsid w:val="003C40E9"/>
    <w:rsid w:val="003C485B"/>
    <w:rsid w:val="003C59BD"/>
    <w:rsid w:val="003C5FD3"/>
    <w:rsid w:val="003C7173"/>
    <w:rsid w:val="003D7436"/>
    <w:rsid w:val="003E0547"/>
    <w:rsid w:val="003E25C8"/>
    <w:rsid w:val="003E5A44"/>
    <w:rsid w:val="003E5B2F"/>
    <w:rsid w:val="003E5EC6"/>
    <w:rsid w:val="003E62F3"/>
    <w:rsid w:val="003E72F2"/>
    <w:rsid w:val="003F254D"/>
    <w:rsid w:val="003F4F5A"/>
    <w:rsid w:val="003F584E"/>
    <w:rsid w:val="003F6142"/>
    <w:rsid w:val="00401A17"/>
    <w:rsid w:val="0040219D"/>
    <w:rsid w:val="004028B6"/>
    <w:rsid w:val="004051C3"/>
    <w:rsid w:val="00405E89"/>
    <w:rsid w:val="00406039"/>
    <w:rsid w:val="0040700A"/>
    <w:rsid w:val="0041063B"/>
    <w:rsid w:val="004114EB"/>
    <w:rsid w:val="004117D2"/>
    <w:rsid w:val="00416A7D"/>
    <w:rsid w:val="0041717A"/>
    <w:rsid w:val="00417F94"/>
    <w:rsid w:val="00420036"/>
    <w:rsid w:val="00420949"/>
    <w:rsid w:val="00421580"/>
    <w:rsid w:val="004226D8"/>
    <w:rsid w:val="00422797"/>
    <w:rsid w:val="0042388F"/>
    <w:rsid w:val="00423F5A"/>
    <w:rsid w:val="00424A2A"/>
    <w:rsid w:val="00427D37"/>
    <w:rsid w:val="004302B8"/>
    <w:rsid w:val="00431244"/>
    <w:rsid w:val="004332F8"/>
    <w:rsid w:val="00434059"/>
    <w:rsid w:val="00437586"/>
    <w:rsid w:val="00437B95"/>
    <w:rsid w:val="004413AB"/>
    <w:rsid w:val="0044144F"/>
    <w:rsid w:val="00443951"/>
    <w:rsid w:val="0044512D"/>
    <w:rsid w:val="0044643B"/>
    <w:rsid w:val="0044644E"/>
    <w:rsid w:val="00447B0A"/>
    <w:rsid w:val="00447FE9"/>
    <w:rsid w:val="0045195A"/>
    <w:rsid w:val="004551DD"/>
    <w:rsid w:val="0045754E"/>
    <w:rsid w:val="00457550"/>
    <w:rsid w:val="00457CB0"/>
    <w:rsid w:val="00461A2F"/>
    <w:rsid w:val="004649FD"/>
    <w:rsid w:val="00465F25"/>
    <w:rsid w:val="004661FA"/>
    <w:rsid w:val="0047445A"/>
    <w:rsid w:val="0047480D"/>
    <w:rsid w:val="00474E40"/>
    <w:rsid w:val="00476ED5"/>
    <w:rsid w:val="0047723D"/>
    <w:rsid w:val="004816AE"/>
    <w:rsid w:val="004826E2"/>
    <w:rsid w:val="00483A15"/>
    <w:rsid w:val="004869BA"/>
    <w:rsid w:val="004900C9"/>
    <w:rsid w:val="004912C2"/>
    <w:rsid w:val="00495D62"/>
    <w:rsid w:val="00497C37"/>
    <w:rsid w:val="004A1259"/>
    <w:rsid w:val="004A1665"/>
    <w:rsid w:val="004A3804"/>
    <w:rsid w:val="004A5D7A"/>
    <w:rsid w:val="004B284C"/>
    <w:rsid w:val="004B3BDB"/>
    <w:rsid w:val="004B44A1"/>
    <w:rsid w:val="004B4540"/>
    <w:rsid w:val="004C1BEB"/>
    <w:rsid w:val="004C501B"/>
    <w:rsid w:val="004D07F2"/>
    <w:rsid w:val="004D134C"/>
    <w:rsid w:val="004D4069"/>
    <w:rsid w:val="004D4917"/>
    <w:rsid w:val="004D5627"/>
    <w:rsid w:val="004D759A"/>
    <w:rsid w:val="004E476E"/>
    <w:rsid w:val="004E49B4"/>
    <w:rsid w:val="004E4E46"/>
    <w:rsid w:val="004E718A"/>
    <w:rsid w:val="004F2259"/>
    <w:rsid w:val="004F3838"/>
    <w:rsid w:val="004F391E"/>
    <w:rsid w:val="004F4328"/>
    <w:rsid w:val="004F56AE"/>
    <w:rsid w:val="004F5F18"/>
    <w:rsid w:val="004F655B"/>
    <w:rsid w:val="00503309"/>
    <w:rsid w:val="0050528F"/>
    <w:rsid w:val="00510121"/>
    <w:rsid w:val="00513094"/>
    <w:rsid w:val="005133B6"/>
    <w:rsid w:val="00513F0E"/>
    <w:rsid w:val="00514EC6"/>
    <w:rsid w:val="005163DA"/>
    <w:rsid w:val="005176FA"/>
    <w:rsid w:val="00520AF6"/>
    <w:rsid w:val="005225F3"/>
    <w:rsid w:val="00522D78"/>
    <w:rsid w:val="0052300C"/>
    <w:rsid w:val="0052300F"/>
    <w:rsid w:val="005263F7"/>
    <w:rsid w:val="005309D8"/>
    <w:rsid w:val="00530EEA"/>
    <w:rsid w:val="00534941"/>
    <w:rsid w:val="00534B22"/>
    <w:rsid w:val="00536003"/>
    <w:rsid w:val="0053623C"/>
    <w:rsid w:val="00536647"/>
    <w:rsid w:val="00537D52"/>
    <w:rsid w:val="00540BC8"/>
    <w:rsid w:val="005413F9"/>
    <w:rsid w:val="005420FE"/>
    <w:rsid w:val="005449CD"/>
    <w:rsid w:val="00550B11"/>
    <w:rsid w:val="0055352E"/>
    <w:rsid w:val="00554590"/>
    <w:rsid w:val="0055510F"/>
    <w:rsid w:val="0055543F"/>
    <w:rsid w:val="005554DC"/>
    <w:rsid w:val="00556AC3"/>
    <w:rsid w:val="00560BEC"/>
    <w:rsid w:val="005619BF"/>
    <w:rsid w:val="00561A5D"/>
    <w:rsid w:val="00563C09"/>
    <w:rsid w:val="00563E82"/>
    <w:rsid w:val="005662D2"/>
    <w:rsid w:val="00566ADD"/>
    <w:rsid w:val="00570EC9"/>
    <w:rsid w:val="005715ED"/>
    <w:rsid w:val="005729C4"/>
    <w:rsid w:val="00576E62"/>
    <w:rsid w:val="00577610"/>
    <w:rsid w:val="00581EF2"/>
    <w:rsid w:val="00583ADC"/>
    <w:rsid w:val="0058458C"/>
    <w:rsid w:val="00584E3F"/>
    <w:rsid w:val="005863F0"/>
    <w:rsid w:val="005917A7"/>
    <w:rsid w:val="0059342E"/>
    <w:rsid w:val="0059365F"/>
    <w:rsid w:val="00595671"/>
    <w:rsid w:val="00595F17"/>
    <w:rsid w:val="00596815"/>
    <w:rsid w:val="005A0886"/>
    <w:rsid w:val="005A16CB"/>
    <w:rsid w:val="005A1AA6"/>
    <w:rsid w:val="005A32D7"/>
    <w:rsid w:val="005A3FB5"/>
    <w:rsid w:val="005A59DE"/>
    <w:rsid w:val="005A70C3"/>
    <w:rsid w:val="005B1062"/>
    <w:rsid w:val="005B3820"/>
    <w:rsid w:val="005B6C1E"/>
    <w:rsid w:val="005B7EBC"/>
    <w:rsid w:val="005C07A7"/>
    <w:rsid w:val="005C0AA9"/>
    <w:rsid w:val="005C1258"/>
    <w:rsid w:val="005C2D1D"/>
    <w:rsid w:val="005C3173"/>
    <w:rsid w:val="005C3D3B"/>
    <w:rsid w:val="005C50C1"/>
    <w:rsid w:val="005C6F9C"/>
    <w:rsid w:val="005D0CD7"/>
    <w:rsid w:val="005D127A"/>
    <w:rsid w:val="005D1E4A"/>
    <w:rsid w:val="005D2E06"/>
    <w:rsid w:val="005D35B0"/>
    <w:rsid w:val="005D4C8C"/>
    <w:rsid w:val="005D597D"/>
    <w:rsid w:val="005D6FA6"/>
    <w:rsid w:val="005D70FF"/>
    <w:rsid w:val="005D7290"/>
    <w:rsid w:val="005E1606"/>
    <w:rsid w:val="005E1777"/>
    <w:rsid w:val="005E1889"/>
    <w:rsid w:val="005E4B2F"/>
    <w:rsid w:val="005E59AB"/>
    <w:rsid w:val="005E645F"/>
    <w:rsid w:val="005E6B34"/>
    <w:rsid w:val="005E755A"/>
    <w:rsid w:val="005F06B3"/>
    <w:rsid w:val="005F0841"/>
    <w:rsid w:val="005F0BCC"/>
    <w:rsid w:val="005F1E71"/>
    <w:rsid w:val="005F2637"/>
    <w:rsid w:val="0060304D"/>
    <w:rsid w:val="00603856"/>
    <w:rsid w:val="00603874"/>
    <w:rsid w:val="00604088"/>
    <w:rsid w:val="00604D7B"/>
    <w:rsid w:val="00604EFB"/>
    <w:rsid w:val="006057DA"/>
    <w:rsid w:val="006067AE"/>
    <w:rsid w:val="0061023E"/>
    <w:rsid w:val="00613D26"/>
    <w:rsid w:val="00614730"/>
    <w:rsid w:val="00614C12"/>
    <w:rsid w:val="00614D2B"/>
    <w:rsid w:val="00615A60"/>
    <w:rsid w:val="00617D21"/>
    <w:rsid w:val="00620030"/>
    <w:rsid w:val="00620197"/>
    <w:rsid w:val="00620E31"/>
    <w:rsid w:val="00621D8A"/>
    <w:rsid w:val="00623E00"/>
    <w:rsid w:val="006247B3"/>
    <w:rsid w:val="006249C7"/>
    <w:rsid w:val="0062557F"/>
    <w:rsid w:val="00625621"/>
    <w:rsid w:val="00630211"/>
    <w:rsid w:val="00631E96"/>
    <w:rsid w:val="006341A9"/>
    <w:rsid w:val="00636350"/>
    <w:rsid w:val="00636378"/>
    <w:rsid w:val="006371F3"/>
    <w:rsid w:val="00637421"/>
    <w:rsid w:val="00637E45"/>
    <w:rsid w:val="0064067D"/>
    <w:rsid w:val="00640AC3"/>
    <w:rsid w:val="00640C18"/>
    <w:rsid w:val="00642F21"/>
    <w:rsid w:val="0064466D"/>
    <w:rsid w:val="00644E55"/>
    <w:rsid w:val="0064545A"/>
    <w:rsid w:val="00645505"/>
    <w:rsid w:val="00647EA2"/>
    <w:rsid w:val="006508DC"/>
    <w:rsid w:val="00650FC6"/>
    <w:rsid w:val="00651A2E"/>
    <w:rsid w:val="00651BDD"/>
    <w:rsid w:val="00652833"/>
    <w:rsid w:val="00653564"/>
    <w:rsid w:val="00654EA4"/>
    <w:rsid w:val="006555D0"/>
    <w:rsid w:val="006557E1"/>
    <w:rsid w:val="00656599"/>
    <w:rsid w:val="00656A85"/>
    <w:rsid w:val="00656F10"/>
    <w:rsid w:val="006578C0"/>
    <w:rsid w:val="00662293"/>
    <w:rsid w:val="006625D2"/>
    <w:rsid w:val="0066350A"/>
    <w:rsid w:val="00665D09"/>
    <w:rsid w:val="006660C6"/>
    <w:rsid w:val="00666182"/>
    <w:rsid w:val="0066665A"/>
    <w:rsid w:val="00666E56"/>
    <w:rsid w:val="006672B4"/>
    <w:rsid w:val="00670C49"/>
    <w:rsid w:val="00671BC3"/>
    <w:rsid w:val="00672385"/>
    <w:rsid w:val="00673084"/>
    <w:rsid w:val="006735C9"/>
    <w:rsid w:val="00674C85"/>
    <w:rsid w:val="00675A75"/>
    <w:rsid w:val="006770C9"/>
    <w:rsid w:val="006776FA"/>
    <w:rsid w:val="00677A61"/>
    <w:rsid w:val="0068013A"/>
    <w:rsid w:val="006809F8"/>
    <w:rsid w:val="006834E8"/>
    <w:rsid w:val="006842E5"/>
    <w:rsid w:val="00684CEB"/>
    <w:rsid w:val="00691582"/>
    <w:rsid w:val="00693474"/>
    <w:rsid w:val="00697C17"/>
    <w:rsid w:val="006A0205"/>
    <w:rsid w:val="006A19E1"/>
    <w:rsid w:val="006A24BD"/>
    <w:rsid w:val="006A2855"/>
    <w:rsid w:val="006A4E28"/>
    <w:rsid w:val="006A58C5"/>
    <w:rsid w:val="006A6F4B"/>
    <w:rsid w:val="006B06A5"/>
    <w:rsid w:val="006B16F9"/>
    <w:rsid w:val="006B4E4D"/>
    <w:rsid w:val="006B5390"/>
    <w:rsid w:val="006B5A3F"/>
    <w:rsid w:val="006B65CF"/>
    <w:rsid w:val="006B77BF"/>
    <w:rsid w:val="006B78CF"/>
    <w:rsid w:val="006C4221"/>
    <w:rsid w:val="006C5815"/>
    <w:rsid w:val="006C6EF4"/>
    <w:rsid w:val="006D1F2F"/>
    <w:rsid w:val="006D304E"/>
    <w:rsid w:val="006D37E0"/>
    <w:rsid w:val="006D4A2E"/>
    <w:rsid w:val="006D6539"/>
    <w:rsid w:val="006D7768"/>
    <w:rsid w:val="006E4574"/>
    <w:rsid w:val="006E500E"/>
    <w:rsid w:val="006E58C4"/>
    <w:rsid w:val="006E6005"/>
    <w:rsid w:val="006E605E"/>
    <w:rsid w:val="006E7356"/>
    <w:rsid w:val="006E7724"/>
    <w:rsid w:val="006F193C"/>
    <w:rsid w:val="006F29FE"/>
    <w:rsid w:val="006F2AAF"/>
    <w:rsid w:val="006F3B11"/>
    <w:rsid w:val="006F4F2C"/>
    <w:rsid w:val="006F62B0"/>
    <w:rsid w:val="00700B19"/>
    <w:rsid w:val="00701864"/>
    <w:rsid w:val="00703E56"/>
    <w:rsid w:val="00704C7A"/>
    <w:rsid w:val="007062B3"/>
    <w:rsid w:val="0070718F"/>
    <w:rsid w:val="00711FD8"/>
    <w:rsid w:val="00713001"/>
    <w:rsid w:val="00713DD5"/>
    <w:rsid w:val="00717C22"/>
    <w:rsid w:val="00720516"/>
    <w:rsid w:val="00720523"/>
    <w:rsid w:val="00720951"/>
    <w:rsid w:val="00720C43"/>
    <w:rsid w:val="007219DF"/>
    <w:rsid w:val="00721BAD"/>
    <w:rsid w:val="00722368"/>
    <w:rsid w:val="00722B4C"/>
    <w:rsid w:val="007236D3"/>
    <w:rsid w:val="00725B9B"/>
    <w:rsid w:val="00725C37"/>
    <w:rsid w:val="007272CE"/>
    <w:rsid w:val="00730119"/>
    <w:rsid w:val="007301F1"/>
    <w:rsid w:val="00730CEF"/>
    <w:rsid w:val="00734DA6"/>
    <w:rsid w:val="0074074D"/>
    <w:rsid w:val="007425B5"/>
    <w:rsid w:val="0074283F"/>
    <w:rsid w:val="00743204"/>
    <w:rsid w:val="00745199"/>
    <w:rsid w:val="00745412"/>
    <w:rsid w:val="0074549E"/>
    <w:rsid w:val="00745F4B"/>
    <w:rsid w:val="00747644"/>
    <w:rsid w:val="00750911"/>
    <w:rsid w:val="00753FC3"/>
    <w:rsid w:val="00757011"/>
    <w:rsid w:val="00757AD5"/>
    <w:rsid w:val="00757CEC"/>
    <w:rsid w:val="00760329"/>
    <w:rsid w:val="0076110F"/>
    <w:rsid w:val="00761B04"/>
    <w:rsid w:val="00762E64"/>
    <w:rsid w:val="00764341"/>
    <w:rsid w:val="00771C97"/>
    <w:rsid w:val="007727CB"/>
    <w:rsid w:val="007729DD"/>
    <w:rsid w:val="0077310A"/>
    <w:rsid w:val="00773EE4"/>
    <w:rsid w:val="00774638"/>
    <w:rsid w:val="007750FF"/>
    <w:rsid w:val="0077691E"/>
    <w:rsid w:val="00777DA1"/>
    <w:rsid w:val="00780D9C"/>
    <w:rsid w:val="007816B9"/>
    <w:rsid w:val="0078350A"/>
    <w:rsid w:val="007838D2"/>
    <w:rsid w:val="00784791"/>
    <w:rsid w:val="007853F6"/>
    <w:rsid w:val="007856A8"/>
    <w:rsid w:val="00786CF5"/>
    <w:rsid w:val="0079047F"/>
    <w:rsid w:val="007922A9"/>
    <w:rsid w:val="00793049"/>
    <w:rsid w:val="00795030"/>
    <w:rsid w:val="0079547D"/>
    <w:rsid w:val="007A08D7"/>
    <w:rsid w:val="007A258C"/>
    <w:rsid w:val="007A2BF1"/>
    <w:rsid w:val="007A3016"/>
    <w:rsid w:val="007A3236"/>
    <w:rsid w:val="007A5FA5"/>
    <w:rsid w:val="007A704F"/>
    <w:rsid w:val="007B364B"/>
    <w:rsid w:val="007B3C15"/>
    <w:rsid w:val="007B5DD1"/>
    <w:rsid w:val="007B5EAE"/>
    <w:rsid w:val="007B7282"/>
    <w:rsid w:val="007C05C3"/>
    <w:rsid w:val="007C1474"/>
    <w:rsid w:val="007C35C9"/>
    <w:rsid w:val="007C5D33"/>
    <w:rsid w:val="007D25FC"/>
    <w:rsid w:val="007D30A2"/>
    <w:rsid w:val="007D52C3"/>
    <w:rsid w:val="007D5EDB"/>
    <w:rsid w:val="007D6F50"/>
    <w:rsid w:val="007D7559"/>
    <w:rsid w:val="007D7E2F"/>
    <w:rsid w:val="007E1FA7"/>
    <w:rsid w:val="007F0B6C"/>
    <w:rsid w:val="007F12DE"/>
    <w:rsid w:val="007F5945"/>
    <w:rsid w:val="007F5D00"/>
    <w:rsid w:val="007F7814"/>
    <w:rsid w:val="00800381"/>
    <w:rsid w:val="008005C4"/>
    <w:rsid w:val="008011DD"/>
    <w:rsid w:val="00802CDC"/>
    <w:rsid w:val="00802CE7"/>
    <w:rsid w:val="0080373B"/>
    <w:rsid w:val="00806587"/>
    <w:rsid w:val="00811546"/>
    <w:rsid w:val="00811E38"/>
    <w:rsid w:val="00814310"/>
    <w:rsid w:val="008147BE"/>
    <w:rsid w:val="00815BED"/>
    <w:rsid w:val="00815EA4"/>
    <w:rsid w:val="0082067D"/>
    <w:rsid w:val="008208A0"/>
    <w:rsid w:val="00820C4E"/>
    <w:rsid w:val="00822659"/>
    <w:rsid w:val="008226E8"/>
    <w:rsid w:val="00822AD3"/>
    <w:rsid w:val="00822DB9"/>
    <w:rsid w:val="00823097"/>
    <w:rsid w:val="00823BA0"/>
    <w:rsid w:val="008244A6"/>
    <w:rsid w:val="00824912"/>
    <w:rsid w:val="0082508E"/>
    <w:rsid w:val="00825202"/>
    <w:rsid w:val="00825602"/>
    <w:rsid w:val="00825CD5"/>
    <w:rsid w:val="0082767E"/>
    <w:rsid w:val="00830F6C"/>
    <w:rsid w:val="008349AC"/>
    <w:rsid w:val="0083579E"/>
    <w:rsid w:val="00836667"/>
    <w:rsid w:val="00836F0A"/>
    <w:rsid w:val="00837633"/>
    <w:rsid w:val="0084036D"/>
    <w:rsid w:val="00841F6D"/>
    <w:rsid w:val="00843E68"/>
    <w:rsid w:val="00847A7A"/>
    <w:rsid w:val="00847E50"/>
    <w:rsid w:val="00853504"/>
    <w:rsid w:val="0085467B"/>
    <w:rsid w:val="008555F1"/>
    <w:rsid w:val="00855AC2"/>
    <w:rsid w:val="00856E57"/>
    <w:rsid w:val="00856F96"/>
    <w:rsid w:val="00857041"/>
    <w:rsid w:val="00857EAA"/>
    <w:rsid w:val="00860385"/>
    <w:rsid w:val="008610C1"/>
    <w:rsid w:val="008613FD"/>
    <w:rsid w:val="00861B11"/>
    <w:rsid w:val="00861B46"/>
    <w:rsid w:val="0086296F"/>
    <w:rsid w:val="00862FEE"/>
    <w:rsid w:val="00863ADF"/>
    <w:rsid w:val="00865CCC"/>
    <w:rsid w:val="00867A5C"/>
    <w:rsid w:val="00867CD9"/>
    <w:rsid w:val="00870347"/>
    <w:rsid w:val="00872292"/>
    <w:rsid w:val="0087316F"/>
    <w:rsid w:val="00874BF9"/>
    <w:rsid w:val="008750E1"/>
    <w:rsid w:val="00880760"/>
    <w:rsid w:val="00884A9C"/>
    <w:rsid w:val="0088660D"/>
    <w:rsid w:val="00887011"/>
    <w:rsid w:val="00887019"/>
    <w:rsid w:val="00887499"/>
    <w:rsid w:val="00890A77"/>
    <w:rsid w:val="0089132F"/>
    <w:rsid w:val="008938B7"/>
    <w:rsid w:val="0089411B"/>
    <w:rsid w:val="00894851"/>
    <w:rsid w:val="00895EC8"/>
    <w:rsid w:val="008A3310"/>
    <w:rsid w:val="008A34BF"/>
    <w:rsid w:val="008A7B5E"/>
    <w:rsid w:val="008B04BA"/>
    <w:rsid w:val="008B0F89"/>
    <w:rsid w:val="008B1863"/>
    <w:rsid w:val="008B212F"/>
    <w:rsid w:val="008B2468"/>
    <w:rsid w:val="008B2B6E"/>
    <w:rsid w:val="008B635F"/>
    <w:rsid w:val="008C0095"/>
    <w:rsid w:val="008C3969"/>
    <w:rsid w:val="008C4503"/>
    <w:rsid w:val="008C45A6"/>
    <w:rsid w:val="008C4EF0"/>
    <w:rsid w:val="008C77E9"/>
    <w:rsid w:val="008D0A5C"/>
    <w:rsid w:val="008D21FD"/>
    <w:rsid w:val="008D6621"/>
    <w:rsid w:val="008D78BE"/>
    <w:rsid w:val="008E0704"/>
    <w:rsid w:val="008E1C0A"/>
    <w:rsid w:val="008E2F9C"/>
    <w:rsid w:val="008E2FA2"/>
    <w:rsid w:val="008E60A2"/>
    <w:rsid w:val="008F15A1"/>
    <w:rsid w:val="008F4543"/>
    <w:rsid w:val="008F5597"/>
    <w:rsid w:val="008F5E77"/>
    <w:rsid w:val="008F61E8"/>
    <w:rsid w:val="008F7BDF"/>
    <w:rsid w:val="00900548"/>
    <w:rsid w:val="00900B89"/>
    <w:rsid w:val="00901162"/>
    <w:rsid w:val="00902069"/>
    <w:rsid w:val="009039B9"/>
    <w:rsid w:val="00910A51"/>
    <w:rsid w:val="00911561"/>
    <w:rsid w:val="00911AA5"/>
    <w:rsid w:val="00912274"/>
    <w:rsid w:val="0091267A"/>
    <w:rsid w:val="00912891"/>
    <w:rsid w:val="009132F7"/>
    <w:rsid w:val="009146E4"/>
    <w:rsid w:val="00916894"/>
    <w:rsid w:val="00920C63"/>
    <w:rsid w:val="00921555"/>
    <w:rsid w:val="0092272B"/>
    <w:rsid w:val="00922C26"/>
    <w:rsid w:val="009233C4"/>
    <w:rsid w:val="0092567C"/>
    <w:rsid w:val="0092591E"/>
    <w:rsid w:val="00926CD6"/>
    <w:rsid w:val="00926D42"/>
    <w:rsid w:val="00927A1D"/>
    <w:rsid w:val="00931D14"/>
    <w:rsid w:val="00933DCF"/>
    <w:rsid w:val="00934277"/>
    <w:rsid w:val="00934333"/>
    <w:rsid w:val="009366E4"/>
    <w:rsid w:val="00942974"/>
    <w:rsid w:val="0094328A"/>
    <w:rsid w:val="009451BF"/>
    <w:rsid w:val="009451EA"/>
    <w:rsid w:val="00947C00"/>
    <w:rsid w:val="00952B7B"/>
    <w:rsid w:val="00953428"/>
    <w:rsid w:val="00954768"/>
    <w:rsid w:val="00956C17"/>
    <w:rsid w:val="00957983"/>
    <w:rsid w:val="00961558"/>
    <w:rsid w:val="00961AA7"/>
    <w:rsid w:val="00962C21"/>
    <w:rsid w:val="00964879"/>
    <w:rsid w:val="00964E21"/>
    <w:rsid w:val="00966148"/>
    <w:rsid w:val="0096730A"/>
    <w:rsid w:val="0096734F"/>
    <w:rsid w:val="00967407"/>
    <w:rsid w:val="00967530"/>
    <w:rsid w:val="00970A03"/>
    <w:rsid w:val="00970A20"/>
    <w:rsid w:val="00971071"/>
    <w:rsid w:val="0097286C"/>
    <w:rsid w:val="00972BBF"/>
    <w:rsid w:val="0097513F"/>
    <w:rsid w:val="009754E3"/>
    <w:rsid w:val="009805FC"/>
    <w:rsid w:val="009822D4"/>
    <w:rsid w:val="00982E37"/>
    <w:rsid w:val="0098343A"/>
    <w:rsid w:val="00985836"/>
    <w:rsid w:val="009866FC"/>
    <w:rsid w:val="009877B2"/>
    <w:rsid w:val="009907E8"/>
    <w:rsid w:val="0099135B"/>
    <w:rsid w:val="00991454"/>
    <w:rsid w:val="00991FFD"/>
    <w:rsid w:val="00994315"/>
    <w:rsid w:val="00995329"/>
    <w:rsid w:val="009955A9"/>
    <w:rsid w:val="00996AD7"/>
    <w:rsid w:val="00996E36"/>
    <w:rsid w:val="009975F1"/>
    <w:rsid w:val="009A1086"/>
    <w:rsid w:val="009A1C2E"/>
    <w:rsid w:val="009A1DBB"/>
    <w:rsid w:val="009A2525"/>
    <w:rsid w:val="009A2CBB"/>
    <w:rsid w:val="009A54F2"/>
    <w:rsid w:val="009B0320"/>
    <w:rsid w:val="009B1524"/>
    <w:rsid w:val="009B52A0"/>
    <w:rsid w:val="009B5FF4"/>
    <w:rsid w:val="009B6E21"/>
    <w:rsid w:val="009C1B82"/>
    <w:rsid w:val="009C1BC8"/>
    <w:rsid w:val="009C2344"/>
    <w:rsid w:val="009C27BC"/>
    <w:rsid w:val="009C461A"/>
    <w:rsid w:val="009C5178"/>
    <w:rsid w:val="009C55A8"/>
    <w:rsid w:val="009D2308"/>
    <w:rsid w:val="009E006B"/>
    <w:rsid w:val="009E120D"/>
    <w:rsid w:val="009E4929"/>
    <w:rsid w:val="009E4EF6"/>
    <w:rsid w:val="009E5F25"/>
    <w:rsid w:val="009E5F28"/>
    <w:rsid w:val="009E6E7C"/>
    <w:rsid w:val="009E7A0B"/>
    <w:rsid w:val="009F05E1"/>
    <w:rsid w:val="009F1053"/>
    <w:rsid w:val="009F3960"/>
    <w:rsid w:val="009F5359"/>
    <w:rsid w:val="009F5A3F"/>
    <w:rsid w:val="009F5DE0"/>
    <w:rsid w:val="009F709B"/>
    <w:rsid w:val="009F71FB"/>
    <w:rsid w:val="00A023AF"/>
    <w:rsid w:val="00A03284"/>
    <w:rsid w:val="00A039EF"/>
    <w:rsid w:val="00A0514D"/>
    <w:rsid w:val="00A10C7C"/>
    <w:rsid w:val="00A12E32"/>
    <w:rsid w:val="00A1469D"/>
    <w:rsid w:val="00A17544"/>
    <w:rsid w:val="00A21F06"/>
    <w:rsid w:val="00A21F1D"/>
    <w:rsid w:val="00A22850"/>
    <w:rsid w:val="00A23E9A"/>
    <w:rsid w:val="00A24967"/>
    <w:rsid w:val="00A3254F"/>
    <w:rsid w:val="00A32A8D"/>
    <w:rsid w:val="00A33AF2"/>
    <w:rsid w:val="00A33BC6"/>
    <w:rsid w:val="00A33C45"/>
    <w:rsid w:val="00A3583F"/>
    <w:rsid w:val="00A40A7D"/>
    <w:rsid w:val="00A417E5"/>
    <w:rsid w:val="00A42F9D"/>
    <w:rsid w:val="00A43D6E"/>
    <w:rsid w:val="00A449A5"/>
    <w:rsid w:val="00A46DAD"/>
    <w:rsid w:val="00A47DB7"/>
    <w:rsid w:val="00A50253"/>
    <w:rsid w:val="00A50328"/>
    <w:rsid w:val="00A509F4"/>
    <w:rsid w:val="00A526B0"/>
    <w:rsid w:val="00A54CCB"/>
    <w:rsid w:val="00A579AA"/>
    <w:rsid w:val="00A62271"/>
    <w:rsid w:val="00A63206"/>
    <w:rsid w:val="00A63B38"/>
    <w:rsid w:val="00A64073"/>
    <w:rsid w:val="00A642D7"/>
    <w:rsid w:val="00A65947"/>
    <w:rsid w:val="00A65BFA"/>
    <w:rsid w:val="00A65DDA"/>
    <w:rsid w:val="00A669E4"/>
    <w:rsid w:val="00A669FB"/>
    <w:rsid w:val="00A6799E"/>
    <w:rsid w:val="00A72E69"/>
    <w:rsid w:val="00A73D91"/>
    <w:rsid w:val="00A75435"/>
    <w:rsid w:val="00A75C20"/>
    <w:rsid w:val="00A7695C"/>
    <w:rsid w:val="00A778B0"/>
    <w:rsid w:val="00A803B7"/>
    <w:rsid w:val="00A82A1D"/>
    <w:rsid w:val="00A83A40"/>
    <w:rsid w:val="00A84732"/>
    <w:rsid w:val="00A85E19"/>
    <w:rsid w:val="00A86827"/>
    <w:rsid w:val="00A9046F"/>
    <w:rsid w:val="00A92E4B"/>
    <w:rsid w:val="00A957CF"/>
    <w:rsid w:val="00A96C04"/>
    <w:rsid w:val="00A97503"/>
    <w:rsid w:val="00A97FF4"/>
    <w:rsid w:val="00AA39B6"/>
    <w:rsid w:val="00AA3A9A"/>
    <w:rsid w:val="00AA44F4"/>
    <w:rsid w:val="00AA64F5"/>
    <w:rsid w:val="00AA7F55"/>
    <w:rsid w:val="00AB1D76"/>
    <w:rsid w:val="00AC2977"/>
    <w:rsid w:val="00AC2A2D"/>
    <w:rsid w:val="00AC361B"/>
    <w:rsid w:val="00AC4B61"/>
    <w:rsid w:val="00AC52C2"/>
    <w:rsid w:val="00AC7210"/>
    <w:rsid w:val="00AC7E18"/>
    <w:rsid w:val="00AD1A1B"/>
    <w:rsid w:val="00AD28CD"/>
    <w:rsid w:val="00AD3F7D"/>
    <w:rsid w:val="00AD4613"/>
    <w:rsid w:val="00AD616A"/>
    <w:rsid w:val="00AD7A84"/>
    <w:rsid w:val="00AE007D"/>
    <w:rsid w:val="00AE27E4"/>
    <w:rsid w:val="00AE5907"/>
    <w:rsid w:val="00AE5FE7"/>
    <w:rsid w:val="00AE665B"/>
    <w:rsid w:val="00AE74DD"/>
    <w:rsid w:val="00AF1C7B"/>
    <w:rsid w:val="00AF270D"/>
    <w:rsid w:val="00AF3BF2"/>
    <w:rsid w:val="00AF42B5"/>
    <w:rsid w:val="00AF447C"/>
    <w:rsid w:val="00B006CE"/>
    <w:rsid w:val="00B00FC7"/>
    <w:rsid w:val="00B01354"/>
    <w:rsid w:val="00B0221C"/>
    <w:rsid w:val="00B0285F"/>
    <w:rsid w:val="00B02E7F"/>
    <w:rsid w:val="00B03878"/>
    <w:rsid w:val="00B040A5"/>
    <w:rsid w:val="00B041F8"/>
    <w:rsid w:val="00B05386"/>
    <w:rsid w:val="00B06D9E"/>
    <w:rsid w:val="00B06E01"/>
    <w:rsid w:val="00B0736A"/>
    <w:rsid w:val="00B1013A"/>
    <w:rsid w:val="00B12882"/>
    <w:rsid w:val="00B14316"/>
    <w:rsid w:val="00B14829"/>
    <w:rsid w:val="00B14D05"/>
    <w:rsid w:val="00B156CF"/>
    <w:rsid w:val="00B159FA"/>
    <w:rsid w:val="00B15E82"/>
    <w:rsid w:val="00B16985"/>
    <w:rsid w:val="00B2083A"/>
    <w:rsid w:val="00B20B5B"/>
    <w:rsid w:val="00B211D1"/>
    <w:rsid w:val="00B214B2"/>
    <w:rsid w:val="00B24148"/>
    <w:rsid w:val="00B25618"/>
    <w:rsid w:val="00B27724"/>
    <w:rsid w:val="00B27F68"/>
    <w:rsid w:val="00B30261"/>
    <w:rsid w:val="00B32EA1"/>
    <w:rsid w:val="00B33316"/>
    <w:rsid w:val="00B33B50"/>
    <w:rsid w:val="00B33CA3"/>
    <w:rsid w:val="00B34771"/>
    <w:rsid w:val="00B4135C"/>
    <w:rsid w:val="00B41A55"/>
    <w:rsid w:val="00B41EAD"/>
    <w:rsid w:val="00B43075"/>
    <w:rsid w:val="00B43B03"/>
    <w:rsid w:val="00B45DA4"/>
    <w:rsid w:val="00B473F5"/>
    <w:rsid w:val="00B52D7F"/>
    <w:rsid w:val="00B53EEA"/>
    <w:rsid w:val="00B54A18"/>
    <w:rsid w:val="00B5549B"/>
    <w:rsid w:val="00B55F39"/>
    <w:rsid w:val="00B56BCB"/>
    <w:rsid w:val="00B577D9"/>
    <w:rsid w:val="00B57CBE"/>
    <w:rsid w:val="00B602BB"/>
    <w:rsid w:val="00B60DC8"/>
    <w:rsid w:val="00B60FF5"/>
    <w:rsid w:val="00B61CE4"/>
    <w:rsid w:val="00B61EDF"/>
    <w:rsid w:val="00B71283"/>
    <w:rsid w:val="00B715B9"/>
    <w:rsid w:val="00B72119"/>
    <w:rsid w:val="00B7297B"/>
    <w:rsid w:val="00B73226"/>
    <w:rsid w:val="00B75195"/>
    <w:rsid w:val="00B8024D"/>
    <w:rsid w:val="00B81068"/>
    <w:rsid w:val="00B82C34"/>
    <w:rsid w:val="00B833BE"/>
    <w:rsid w:val="00B8499E"/>
    <w:rsid w:val="00B84C27"/>
    <w:rsid w:val="00B8533E"/>
    <w:rsid w:val="00B85C91"/>
    <w:rsid w:val="00B874C7"/>
    <w:rsid w:val="00B87A21"/>
    <w:rsid w:val="00B90E29"/>
    <w:rsid w:val="00B91DD6"/>
    <w:rsid w:val="00B92678"/>
    <w:rsid w:val="00B931D7"/>
    <w:rsid w:val="00B95707"/>
    <w:rsid w:val="00B9693A"/>
    <w:rsid w:val="00B96D7A"/>
    <w:rsid w:val="00B96DE6"/>
    <w:rsid w:val="00BA0184"/>
    <w:rsid w:val="00BA2852"/>
    <w:rsid w:val="00BA3578"/>
    <w:rsid w:val="00BA3721"/>
    <w:rsid w:val="00BA3C23"/>
    <w:rsid w:val="00BA3EA2"/>
    <w:rsid w:val="00BA4F64"/>
    <w:rsid w:val="00BA5A9A"/>
    <w:rsid w:val="00BA5D57"/>
    <w:rsid w:val="00BA637A"/>
    <w:rsid w:val="00BA7E42"/>
    <w:rsid w:val="00BB04EA"/>
    <w:rsid w:val="00BB0DA3"/>
    <w:rsid w:val="00BB10F9"/>
    <w:rsid w:val="00BB1B0B"/>
    <w:rsid w:val="00BB58E4"/>
    <w:rsid w:val="00BB5A31"/>
    <w:rsid w:val="00BC06CC"/>
    <w:rsid w:val="00BC0D85"/>
    <w:rsid w:val="00BC0E59"/>
    <w:rsid w:val="00BC0FC7"/>
    <w:rsid w:val="00BC28C8"/>
    <w:rsid w:val="00BC4780"/>
    <w:rsid w:val="00BC59B0"/>
    <w:rsid w:val="00BC68C1"/>
    <w:rsid w:val="00BC77C7"/>
    <w:rsid w:val="00BD0EF0"/>
    <w:rsid w:val="00BD203F"/>
    <w:rsid w:val="00BD2B9A"/>
    <w:rsid w:val="00BD340E"/>
    <w:rsid w:val="00BD34B9"/>
    <w:rsid w:val="00BD3EBD"/>
    <w:rsid w:val="00BD5CEC"/>
    <w:rsid w:val="00BD5D0B"/>
    <w:rsid w:val="00BE38CF"/>
    <w:rsid w:val="00BE3F7B"/>
    <w:rsid w:val="00BE41D3"/>
    <w:rsid w:val="00BE6A32"/>
    <w:rsid w:val="00BE6C7F"/>
    <w:rsid w:val="00BF4626"/>
    <w:rsid w:val="00BF4A83"/>
    <w:rsid w:val="00BF7011"/>
    <w:rsid w:val="00BF7644"/>
    <w:rsid w:val="00C0029E"/>
    <w:rsid w:val="00C00C3C"/>
    <w:rsid w:val="00C00C7B"/>
    <w:rsid w:val="00C010BE"/>
    <w:rsid w:val="00C02191"/>
    <w:rsid w:val="00C073B5"/>
    <w:rsid w:val="00C137AA"/>
    <w:rsid w:val="00C14BF4"/>
    <w:rsid w:val="00C15951"/>
    <w:rsid w:val="00C15F7C"/>
    <w:rsid w:val="00C17050"/>
    <w:rsid w:val="00C17607"/>
    <w:rsid w:val="00C211FD"/>
    <w:rsid w:val="00C23F6F"/>
    <w:rsid w:val="00C25120"/>
    <w:rsid w:val="00C25B39"/>
    <w:rsid w:val="00C26504"/>
    <w:rsid w:val="00C270DA"/>
    <w:rsid w:val="00C30ED6"/>
    <w:rsid w:val="00C324F2"/>
    <w:rsid w:val="00C33021"/>
    <w:rsid w:val="00C331D9"/>
    <w:rsid w:val="00C3417E"/>
    <w:rsid w:val="00C34BB2"/>
    <w:rsid w:val="00C34DE5"/>
    <w:rsid w:val="00C370A8"/>
    <w:rsid w:val="00C41124"/>
    <w:rsid w:val="00C4322D"/>
    <w:rsid w:val="00C44EEB"/>
    <w:rsid w:val="00C479D3"/>
    <w:rsid w:val="00C52377"/>
    <w:rsid w:val="00C535E0"/>
    <w:rsid w:val="00C537EE"/>
    <w:rsid w:val="00C5471E"/>
    <w:rsid w:val="00C55D2C"/>
    <w:rsid w:val="00C567E7"/>
    <w:rsid w:val="00C570CA"/>
    <w:rsid w:val="00C573B4"/>
    <w:rsid w:val="00C62F1A"/>
    <w:rsid w:val="00C632CE"/>
    <w:rsid w:val="00C63303"/>
    <w:rsid w:val="00C636B1"/>
    <w:rsid w:val="00C63FC5"/>
    <w:rsid w:val="00C676CB"/>
    <w:rsid w:val="00C67D08"/>
    <w:rsid w:val="00C718BE"/>
    <w:rsid w:val="00C7245F"/>
    <w:rsid w:val="00C7523D"/>
    <w:rsid w:val="00C75DDA"/>
    <w:rsid w:val="00C76BF2"/>
    <w:rsid w:val="00C77B10"/>
    <w:rsid w:val="00C80F6F"/>
    <w:rsid w:val="00C8296C"/>
    <w:rsid w:val="00C839A1"/>
    <w:rsid w:val="00C83F61"/>
    <w:rsid w:val="00C844AA"/>
    <w:rsid w:val="00C84EED"/>
    <w:rsid w:val="00C8550D"/>
    <w:rsid w:val="00C925FE"/>
    <w:rsid w:val="00C926B8"/>
    <w:rsid w:val="00C926CC"/>
    <w:rsid w:val="00C93239"/>
    <w:rsid w:val="00C93244"/>
    <w:rsid w:val="00C9388F"/>
    <w:rsid w:val="00CA1322"/>
    <w:rsid w:val="00CA1577"/>
    <w:rsid w:val="00CA1787"/>
    <w:rsid w:val="00CA4189"/>
    <w:rsid w:val="00CA442D"/>
    <w:rsid w:val="00CA4681"/>
    <w:rsid w:val="00CA4D4E"/>
    <w:rsid w:val="00CA5F82"/>
    <w:rsid w:val="00CA5FC1"/>
    <w:rsid w:val="00CA605B"/>
    <w:rsid w:val="00CA71E1"/>
    <w:rsid w:val="00CA740D"/>
    <w:rsid w:val="00CB257D"/>
    <w:rsid w:val="00CB51C1"/>
    <w:rsid w:val="00CB5AFC"/>
    <w:rsid w:val="00CC0661"/>
    <w:rsid w:val="00CC174F"/>
    <w:rsid w:val="00CC18A5"/>
    <w:rsid w:val="00CC2ECB"/>
    <w:rsid w:val="00CC3045"/>
    <w:rsid w:val="00CC3886"/>
    <w:rsid w:val="00CC3E37"/>
    <w:rsid w:val="00CC653B"/>
    <w:rsid w:val="00CC6961"/>
    <w:rsid w:val="00CC799B"/>
    <w:rsid w:val="00CD0107"/>
    <w:rsid w:val="00CD032A"/>
    <w:rsid w:val="00CD0AD0"/>
    <w:rsid w:val="00CD35FE"/>
    <w:rsid w:val="00CD4A6A"/>
    <w:rsid w:val="00CD4D88"/>
    <w:rsid w:val="00CD57DA"/>
    <w:rsid w:val="00CE02A4"/>
    <w:rsid w:val="00CE0D46"/>
    <w:rsid w:val="00CE17A1"/>
    <w:rsid w:val="00CE2286"/>
    <w:rsid w:val="00CE22ED"/>
    <w:rsid w:val="00CE29A2"/>
    <w:rsid w:val="00CE402F"/>
    <w:rsid w:val="00CE5D64"/>
    <w:rsid w:val="00CF0E1A"/>
    <w:rsid w:val="00CF1661"/>
    <w:rsid w:val="00CF1BB2"/>
    <w:rsid w:val="00CF2F89"/>
    <w:rsid w:val="00CF3029"/>
    <w:rsid w:val="00CF3B8C"/>
    <w:rsid w:val="00CF4680"/>
    <w:rsid w:val="00CF4EE4"/>
    <w:rsid w:val="00CF5645"/>
    <w:rsid w:val="00CF5D6E"/>
    <w:rsid w:val="00D009D2"/>
    <w:rsid w:val="00D00DD2"/>
    <w:rsid w:val="00D015EB"/>
    <w:rsid w:val="00D0332F"/>
    <w:rsid w:val="00D037A5"/>
    <w:rsid w:val="00D0396F"/>
    <w:rsid w:val="00D06301"/>
    <w:rsid w:val="00D06691"/>
    <w:rsid w:val="00D068A0"/>
    <w:rsid w:val="00D07A11"/>
    <w:rsid w:val="00D07F11"/>
    <w:rsid w:val="00D10736"/>
    <w:rsid w:val="00D1149C"/>
    <w:rsid w:val="00D14E91"/>
    <w:rsid w:val="00D154D5"/>
    <w:rsid w:val="00D1566E"/>
    <w:rsid w:val="00D210B9"/>
    <w:rsid w:val="00D2283D"/>
    <w:rsid w:val="00D22C27"/>
    <w:rsid w:val="00D236D3"/>
    <w:rsid w:val="00D250E6"/>
    <w:rsid w:val="00D265EF"/>
    <w:rsid w:val="00D30E40"/>
    <w:rsid w:val="00D31BB8"/>
    <w:rsid w:val="00D31BD5"/>
    <w:rsid w:val="00D3209F"/>
    <w:rsid w:val="00D323F6"/>
    <w:rsid w:val="00D3476E"/>
    <w:rsid w:val="00D35B5D"/>
    <w:rsid w:val="00D365F8"/>
    <w:rsid w:val="00D37338"/>
    <w:rsid w:val="00D41416"/>
    <w:rsid w:val="00D42EAD"/>
    <w:rsid w:val="00D45833"/>
    <w:rsid w:val="00D46239"/>
    <w:rsid w:val="00D4671D"/>
    <w:rsid w:val="00D467EA"/>
    <w:rsid w:val="00D46866"/>
    <w:rsid w:val="00D46CB1"/>
    <w:rsid w:val="00D50A89"/>
    <w:rsid w:val="00D52DCB"/>
    <w:rsid w:val="00D565F5"/>
    <w:rsid w:val="00D56A6A"/>
    <w:rsid w:val="00D56E4D"/>
    <w:rsid w:val="00D56FA9"/>
    <w:rsid w:val="00D60529"/>
    <w:rsid w:val="00D609DB"/>
    <w:rsid w:val="00D60FDC"/>
    <w:rsid w:val="00D62029"/>
    <w:rsid w:val="00D64724"/>
    <w:rsid w:val="00D64A9C"/>
    <w:rsid w:val="00D66F40"/>
    <w:rsid w:val="00D72967"/>
    <w:rsid w:val="00D72C68"/>
    <w:rsid w:val="00D7491F"/>
    <w:rsid w:val="00D76693"/>
    <w:rsid w:val="00D809E3"/>
    <w:rsid w:val="00D81A34"/>
    <w:rsid w:val="00D824CF"/>
    <w:rsid w:val="00D851F6"/>
    <w:rsid w:val="00D8592B"/>
    <w:rsid w:val="00D85F13"/>
    <w:rsid w:val="00D86797"/>
    <w:rsid w:val="00D8757C"/>
    <w:rsid w:val="00D87658"/>
    <w:rsid w:val="00D90BF2"/>
    <w:rsid w:val="00D9142A"/>
    <w:rsid w:val="00D94354"/>
    <w:rsid w:val="00D94810"/>
    <w:rsid w:val="00D954C5"/>
    <w:rsid w:val="00D96AA6"/>
    <w:rsid w:val="00D9705F"/>
    <w:rsid w:val="00DA3233"/>
    <w:rsid w:val="00DA3384"/>
    <w:rsid w:val="00DA386A"/>
    <w:rsid w:val="00DA388F"/>
    <w:rsid w:val="00DA4397"/>
    <w:rsid w:val="00DA4B6F"/>
    <w:rsid w:val="00DB4571"/>
    <w:rsid w:val="00DB56CF"/>
    <w:rsid w:val="00DC03F6"/>
    <w:rsid w:val="00DC1864"/>
    <w:rsid w:val="00DC1B1D"/>
    <w:rsid w:val="00DC1F2C"/>
    <w:rsid w:val="00DC2DAA"/>
    <w:rsid w:val="00DC3754"/>
    <w:rsid w:val="00DC3ACF"/>
    <w:rsid w:val="00DC4BBD"/>
    <w:rsid w:val="00DC5E63"/>
    <w:rsid w:val="00DC6C78"/>
    <w:rsid w:val="00DC7787"/>
    <w:rsid w:val="00DD1E82"/>
    <w:rsid w:val="00DD1F27"/>
    <w:rsid w:val="00DE0E57"/>
    <w:rsid w:val="00DE1897"/>
    <w:rsid w:val="00DE702A"/>
    <w:rsid w:val="00DE79E9"/>
    <w:rsid w:val="00DE7FC8"/>
    <w:rsid w:val="00DF0648"/>
    <w:rsid w:val="00DF1F84"/>
    <w:rsid w:val="00DF33B3"/>
    <w:rsid w:val="00DF4938"/>
    <w:rsid w:val="00DF5D08"/>
    <w:rsid w:val="00DF74F5"/>
    <w:rsid w:val="00E0039B"/>
    <w:rsid w:val="00E03587"/>
    <w:rsid w:val="00E03DCC"/>
    <w:rsid w:val="00E0449A"/>
    <w:rsid w:val="00E0460C"/>
    <w:rsid w:val="00E06182"/>
    <w:rsid w:val="00E0640B"/>
    <w:rsid w:val="00E06DF7"/>
    <w:rsid w:val="00E113B2"/>
    <w:rsid w:val="00E1191B"/>
    <w:rsid w:val="00E1314D"/>
    <w:rsid w:val="00E15265"/>
    <w:rsid w:val="00E15A97"/>
    <w:rsid w:val="00E22747"/>
    <w:rsid w:val="00E22914"/>
    <w:rsid w:val="00E22B79"/>
    <w:rsid w:val="00E24B9B"/>
    <w:rsid w:val="00E26174"/>
    <w:rsid w:val="00E2679C"/>
    <w:rsid w:val="00E27AAF"/>
    <w:rsid w:val="00E35CDB"/>
    <w:rsid w:val="00E363D8"/>
    <w:rsid w:val="00E3663A"/>
    <w:rsid w:val="00E36E1F"/>
    <w:rsid w:val="00E37BC1"/>
    <w:rsid w:val="00E40870"/>
    <w:rsid w:val="00E41435"/>
    <w:rsid w:val="00E4571B"/>
    <w:rsid w:val="00E45E86"/>
    <w:rsid w:val="00E470CC"/>
    <w:rsid w:val="00E47B8C"/>
    <w:rsid w:val="00E52FA0"/>
    <w:rsid w:val="00E57BB7"/>
    <w:rsid w:val="00E60761"/>
    <w:rsid w:val="00E63185"/>
    <w:rsid w:val="00E6371F"/>
    <w:rsid w:val="00E648C8"/>
    <w:rsid w:val="00E64F64"/>
    <w:rsid w:val="00E705F6"/>
    <w:rsid w:val="00E70ADD"/>
    <w:rsid w:val="00E715C6"/>
    <w:rsid w:val="00E7225A"/>
    <w:rsid w:val="00E7747B"/>
    <w:rsid w:val="00E77BED"/>
    <w:rsid w:val="00E8244A"/>
    <w:rsid w:val="00E83622"/>
    <w:rsid w:val="00E86620"/>
    <w:rsid w:val="00E87692"/>
    <w:rsid w:val="00E901BC"/>
    <w:rsid w:val="00E922A3"/>
    <w:rsid w:val="00E9481E"/>
    <w:rsid w:val="00E96B19"/>
    <w:rsid w:val="00EA2212"/>
    <w:rsid w:val="00EA2288"/>
    <w:rsid w:val="00EA35CF"/>
    <w:rsid w:val="00EA47C8"/>
    <w:rsid w:val="00EA5BD3"/>
    <w:rsid w:val="00EA6008"/>
    <w:rsid w:val="00EB19FA"/>
    <w:rsid w:val="00EB2082"/>
    <w:rsid w:val="00EB2CAB"/>
    <w:rsid w:val="00EB2FE0"/>
    <w:rsid w:val="00EB3CE4"/>
    <w:rsid w:val="00EB4475"/>
    <w:rsid w:val="00EB6E2B"/>
    <w:rsid w:val="00EB7049"/>
    <w:rsid w:val="00EB7A6E"/>
    <w:rsid w:val="00EC014E"/>
    <w:rsid w:val="00EC04EF"/>
    <w:rsid w:val="00EC15A2"/>
    <w:rsid w:val="00EC2BAF"/>
    <w:rsid w:val="00EC2C50"/>
    <w:rsid w:val="00EC2D64"/>
    <w:rsid w:val="00EC511A"/>
    <w:rsid w:val="00ED1FD5"/>
    <w:rsid w:val="00ED279A"/>
    <w:rsid w:val="00EE10B8"/>
    <w:rsid w:val="00EE1E32"/>
    <w:rsid w:val="00EE3278"/>
    <w:rsid w:val="00EE60B3"/>
    <w:rsid w:val="00EE7225"/>
    <w:rsid w:val="00EE74AC"/>
    <w:rsid w:val="00EF0C73"/>
    <w:rsid w:val="00EF2E00"/>
    <w:rsid w:val="00EF6A68"/>
    <w:rsid w:val="00EF7A2C"/>
    <w:rsid w:val="00F0170C"/>
    <w:rsid w:val="00F0301F"/>
    <w:rsid w:val="00F035BB"/>
    <w:rsid w:val="00F036C6"/>
    <w:rsid w:val="00F04835"/>
    <w:rsid w:val="00F048D7"/>
    <w:rsid w:val="00F12506"/>
    <w:rsid w:val="00F12849"/>
    <w:rsid w:val="00F1449B"/>
    <w:rsid w:val="00F15CFC"/>
    <w:rsid w:val="00F263C6"/>
    <w:rsid w:val="00F27D95"/>
    <w:rsid w:val="00F308E6"/>
    <w:rsid w:val="00F31D0C"/>
    <w:rsid w:val="00F3249C"/>
    <w:rsid w:val="00F32900"/>
    <w:rsid w:val="00F36865"/>
    <w:rsid w:val="00F369B0"/>
    <w:rsid w:val="00F42682"/>
    <w:rsid w:val="00F444E3"/>
    <w:rsid w:val="00F45160"/>
    <w:rsid w:val="00F46E8C"/>
    <w:rsid w:val="00F505ED"/>
    <w:rsid w:val="00F51632"/>
    <w:rsid w:val="00F522A7"/>
    <w:rsid w:val="00F53080"/>
    <w:rsid w:val="00F53BE8"/>
    <w:rsid w:val="00F605BB"/>
    <w:rsid w:val="00F615B7"/>
    <w:rsid w:val="00F64190"/>
    <w:rsid w:val="00F67300"/>
    <w:rsid w:val="00F67B24"/>
    <w:rsid w:val="00F7005D"/>
    <w:rsid w:val="00F701A2"/>
    <w:rsid w:val="00F70B96"/>
    <w:rsid w:val="00F72012"/>
    <w:rsid w:val="00F75679"/>
    <w:rsid w:val="00F75C60"/>
    <w:rsid w:val="00F767D4"/>
    <w:rsid w:val="00F76A38"/>
    <w:rsid w:val="00F76A53"/>
    <w:rsid w:val="00F80630"/>
    <w:rsid w:val="00F82352"/>
    <w:rsid w:val="00F836D8"/>
    <w:rsid w:val="00F852A9"/>
    <w:rsid w:val="00F85700"/>
    <w:rsid w:val="00F85ABE"/>
    <w:rsid w:val="00F86270"/>
    <w:rsid w:val="00F8716E"/>
    <w:rsid w:val="00F9191A"/>
    <w:rsid w:val="00F92A31"/>
    <w:rsid w:val="00F93389"/>
    <w:rsid w:val="00F9669F"/>
    <w:rsid w:val="00F96CB8"/>
    <w:rsid w:val="00F97429"/>
    <w:rsid w:val="00FA0260"/>
    <w:rsid w:val="00FA1D5B"/>
    <w:rsid w:val="00FA30F8"/>
    <w:rsid w:val="00FA5191"/>
    <w:rsid w:val="00FA578F"/>
    <w:rsid w:val="00FA5CC6"/>
    <w:rsid w:val="00FA622F"/>
    <w:rsid w:val="00FB083F"/>
    <w:rsid w:val="00FB0DD6"/>
    <w:rsid w:val="00FB4F89"/>
    <w:rsid w:val="00FB591C"/>
    <w:rsid w:val="00FB5B3E"/>
    <w:rsid w:val="00FB5E20"/>
    <w:rsid w:val="00FB68D4"/>
    <w:rsid w:val="00FB68EB"/>
    <w:rsid w:val="00FB7D5B"/>
    <w:rsid w:val="00FC0558"/>
    <w:rsid w:val="00FC0F91"/>
    <w:rsid w:val="00FC1F8E"/>
    <w:rsid w:val="00FC280B"/>
    <w:rsid w:val="00FC3233"/>
    <w:rsid w:val="00FC32BF"/>
    <w:rsid w:val="00FC7A1F"/>
    <w:rsid w:val="00FD1BF2"/>
    <w:rsid w:val="00FD6624"/>
    <w:rsid w:val="00FD6898"/>
    <w:rsid w:val="00FD6DBF"/>
    <w:rsid w:val="00FD73E1"/>
    <w:rsid w:val="00FE23FF"/>
    <w:rsid w:val="00FE3DAE"/>
    <w:rsid w:val="00FE5628"/>
    <w:rsid w:val="00FE5C31"/>
    <w:rsid w:val="00FE5D6D"/>
    <w:rsid w:val="00FE6952"/>
    <w:rsid w:val="00FE71A5"/>
    <w:rsid w:val="00FE72A3"/>
    <w:rsid w:val="00FF354B"/>
    <w:rsid w:val="00FF3801"/>
    <w:rsid w:val="00FF49B3"/>
    <w:rsid w:val="00FF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0154"/>
  <w15:chartTrackingRefBased/>
  <w15:docId w15:val="{4D32E1BE-00F0-4159-9ADC-1971A86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886"/>
    <w:pPr>
      <w:tabs>
        <w:tab w:val="left" w:pos="720"/>
      </w:tabs>
      <w:spacing w:after="0" w:line="480" w:lineRule="auto"/>
      <w:jc w:val="both"/>
    </w:pPr>
    <w:rPr>
      <w:rFonts w:ascii="Calluna" w:hAnsi="Calluna" w:cs="Times New Roman"/>
      <w:kern w:val="0"/>
      <w14:ligatures w14:val="none"/>
    </w:rPr>
  </w:style>
  <w:style w:type="paragraph" w:styleId="Heading1">
    <w:name w:val="heading 1"/>
    <w:basedOn w:val="Normal"/>
    <w:next w:val="Normal"/>
    <w:link w:val="Heading1Char"/>
    <w:uiPriority w:val="9"/>
    <w:qFormat/>
    <w:rsid w:val="009A2525"/>
    <w:pPr>
      <w:tabs>
        <w:tab w:val="clear" w:pos="720"/>
      </w:tabs>
      <w:spacing w:after="240" w:line="240" w:lineRule="auto"/>
      <w:jc w:val="center"/>
      <w:outlineLvl w:val="0"/>
    </w:pPr>
    <w:rPr>
      <w:rFonts w:cstheme="minorBidi"/>
      <w:b/>
      <w:bCs/>
      <w:kern w:val="2"/>
      <w14:ligatures w14:val="standardContextual"/>
    </w:rPr>
  </w:style>
  <w:style w:type="paragraph" w:styleId="Heading2">
    <w:name w:val="heading 2"/>
    <w:basedOn w:val="ListParagraph"/>
    <w:next w:val="Normal"/>
    <w:link w:val="Heading2Char"/>
    <w:uiPriority w:val="9"/>
    <w:unhideWhenUsed/>
    <w:qFormat/>
    <w:rsid w:val="006776FA"/>
    <w:pPr>
      <w:numPr>
        <w:numId w:val="14"/>
      </w:numPr>
      <w:tabs>
        <w:tab w:val="clear" w:pos="720"/>
      </w:tabs>
      <w:spacing w:after="240" w:line="240" w:lineRule="auto"/>
      <w:ind w:left="540" w:right="720" w:hanging="540"/>
      <w:jc w:val="left"/>
      <w:outlineLvl w:val="1"/>
    </w:pPr>
    <w:rPr>
      <w:b/>
      <w:bCs/>
    </w:rPr>
  </w:style>
  <w:style w:type="paragraph" w:styleId="Heading3">
    <w:name w:val="heading 3"/>
    <w:basedOn w:val="Heading2"/>
    <w:next w:val="Normal"/>
    <w:link w:val="Heading3Char"/>
    <w:uiPriority w:val="9"/>
    <w:unhideWhenUsed/>
    <w:qFormat/>
    <w:rsid w:val="00420036"/>
    <w:pPr>
      <w:numPr>
        <w:ilvl w:val="1"/>
        <w:numId w:val="13"/>
      </w:numPr>
      <w:tabs>
        <w:tab w:val="left" w:pos="1260"/>
      </w:tabs>
      <w:ind w:left="1260" w:hanging="540"/>
      <w:outlineLvl w:val="2"/>
    </w:pPr>
  </w:style>
  <w:style w:type="paragraph" w:styleId="Heading4">
    <w:name w:val="heading 4"/>
    <w:basedOn w:val="Heading3"/>
    <w:next w:val="Normal"/>
    <w:link w:val="Heading4Char"/>
    <w:uiPriority w:val="9"/>
    <w:unhideWhenUsed/>
    <w:qFormat/>
    <w:rsid w:val="00734DA6"/>
    <w:pPr>
      <w:numPr>
        <w:ilvl w:val="2"/>
      </w:numPr>
      <w:tabs>
        <w:tab w:val="clear" w:pos="1260"/>
        <w:tab w:val="left" w:pos="2070"/>
      </w:tabs>
      <w:outlineLvl w:val="3"/>
    </w:pPr>
  </w:style>
  <w:style w:type="paragraph" w:styleId="Heading5">
    <w:name w:val="heading 5"/>
    <w:basedOn w:val="Normal"/>
    <w:next w:val="Normal"/>
    <w:link w:val="Heading5Char"/>
    <w:uiPriority w:val="9"/>
    <w:semiHidden/>
    <w:unhideWhenUsed/>
    <w:qFormat/>
    <w:rsid w:val="000259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59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59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59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59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53564"/>
    <w:pPr>
      <w:spacing w:line="240" w:lineRule="auto"/>
    </w:pPr>
    <w:rPr>
      <w:rFonts w:ascii="Helvetica" w:eastAsiaTheme="majorEastAsia" w:hAnsi="Helvetica" w:cstheme="majorBidi"/>
      <w:sz w:val="20"/>
      <w:szCs w:val="20"/>
    </w:rPr>
  </w:style>
  <w:style w:type="paragraph" w:styleId="EnvelopeAddress">
    <w:name w:val="envelope address"/>
    <w:basedOn w:val="Normal"/>
    <w:uiPriority w:val="99"/>
    <w:semiHidden/>
    <w:unhideWhenUsed/>
    <w:rsid w:val="00653564"/>
    <w:pPr>
      <w:framePr w:w="7920" w:h="1980" w:hRule="exact" w:hSpace="180" w:wrap="auto" w:hAnchor="page" w:xAlign="center" w:yAlign="bottom"/>
      <w:spacing w:line="240" w:lineRule="auto"/>
      <w:ind w:left="2880"/>
    </w:pPr>
    <w:rPr>
      <w:rFonts w:ascii="Helvetica" w:eastAsiaTheme="majorEastAsia" w:hAnsi="Helvetica" w:cstheme="majorBidi"/>
    </w:rPr>
  </w:style>
  <w:style w:type="character" w:customStyle="1" w:styleId="Heading1Char">
    <w:name w:val="Heading 1 Char"/>
    <w:basedOn w:val="DefaultParagraphFont"/>
    <w:link w:val="Heading1"/>
    <w:uiPriority w:val="9"/>
    <w:rsid w:val="009A2525"/>
    <w:rPr>
      <w:rFonts w:ascii="Calluna" w:hAnsi="Calluna"/>
      <w:b/>
      <w:bCs/>
    </w:rPr>
  </w:style>
  <w:style w:type="character" w:customStyle="1" w:styleId="Heading3Char">
    <w:name w:val="Heading 3 Char"/>
    <w:basedOn w:val="DefaultParagraphFont"/>
    <w:link w:val="Heading3"/>
    <w:uiPriority w:val="9"/>
    <w:rsid w:val="00420036"/>
    <w:rPr>
      <w:rFonts w:ascii="Calluna" w:hAnsi="Calluna" w:cs="Times New Roman"/>
      <w:b/>
      <w:bCs/>
      <w:kern w:val="0"/>
      <w14:ligatures w14:val="none"/>
    </w:rPr>
  </w:style>
  <w:style w:type="character" w:customStyle="1" w:styleId="Heading2Char">
    <w:name w:val="Heading 2 Char"/>
    <w:basedOn w:val="DefaultParagraphFont"/>
    <w:link w:val="Heading2"/>
    <w:uiPriority w:val="9"/>
    <w:rsid w:val="006776FA"/>
    <w:rPr>
      <w:rFonts w:ascii="Calluna" w:hAnsi="Calluna" w:cs="Times New Roman"/>
      <w:b/>
      <w:bCs/>
      <w:kern w:val="0"/>
      <w14:ligatures w14:val="none"/>
    </w:rPr>
  </w:style>
  <w:style w:type="paragraph" w:styleId="ListParagraph">
    <w:name w:val="List Paragraph"/>
    <w:basedOn w:val="Normal"/>
    <w:uiPriority w:val="34"/>
    <w:qFormat/>
    <w:rsid w:val="005A0886"/>
    <w:pPr>
      <w:ind w:left="720"/>
      <w:contextualSpacing/>
    </w:pPr>
  </w:style>
  <w:style w:type="character" w:customStyle="1" w:styleId="Heading4Char">
    <w:name w:val="Heading 4 Char"/>
    <w:basedOn w:val="DefaultParagraphFont"/>
    <w:link w:val="Heading4"/>
    <w:uiPriority w:val="9"/>
    <w:rsid w:val="00734DA6"/>
    <w:rPr>
      <w:rFonts w:ascii="Calluna" w:hAnsi="Calluna" w:cs="Times New Roman"/>
      <w:b/>
      <w:bCs/>
      <w:kern w:val="0"/>
      <w14:ligatures w14:val="none"/>
    </w:rPr>
  </w:style>
  <w:style w:type="character" w:customStyle="1" w:styleId="Heading5Char">
    <w:name w:val="Heading 5 Char"/>
    <w:basedOn w:val="DefaultParagraphFont"/>
    <w:link w:val="Heading5"/>
    <w:uiPriority w:val="9"/>
    <w:semiHidden/>
    <w:rsid w:val="00025974"/>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025974"/>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025974"/>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025974"/>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025974"/>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02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9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259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9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259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974"/>
    <w:rPr>
      <w:rFonts w:ascii="Calluna" w:hAnsi="Calluna" w:cs="Times New Roman"/>
      <w:i/>
      <w:iCs/>
      <w:color w:val="404040" w:themeColor="text1" w:themeTint="BF"/>
      <w:kern w:val="0"/>
      <w14:ligatures w14:val="none"/>
    </w:rPr>
  </w:style>
  <w:style w:type="character" w:styleId="IntenseEmphasis">
    <w:name w:val="Intense Emphasis"/>
    <w:basedOn w:val="DefaultParagraphFont"/>
    <w:uiPriority w:val="21"/>
    <w:qFormat/>
    <w:rsid w:val="00025974"/>
    <w:rPr>
      <w:i/>
      <w:iCs/>
      <w:color w:val="0F4761" w:themeColor="accent1" w:themeShade="BF"/>
    </w:rPr>
  </w:style>
  <w:style w:type="paragraph" w:styleId="IntenseQuote">
    <w:name w:val="Intense Quote"/>
    <w:basedOn w:val="Normal"/>
    <w:next w:val="Normal"/>
    <w:link w:val="IntenseQuoteChar"/>
    <w:uiPriority w:val="30"/>
    <w:qFormat/>
    <w:rsid w:val="0002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974"/>
    <w:rPr>
      <w:rFonts w:ascii="Calluna" w:hAnsi="Calluna" w:cs="Times New Roman"/>
      <w:i/>
      <w:iCs/>
      <w:color w:val="0F4761" w:themeColor="accent1" w:themeShade="BF"/>
      <w:kern w:val="0"/>
      <w14:ligatures w14:val="none"/>
    </w:rPr>
  </w:style>
  <w:style w:type="character" w:styleId="IntenseReference">
    <w:name w:val="Intense Reference"/>
    <w:basedOn w:val="DefaultParagraphFont"/>
    <w:uiPriority w:val="32"/>
    <w:qFormat/>
    <w:rsid w:val="00025974"/>
    <w:rPr>
      <w:b/>
      <w:bCs/>
      <w:smallCaps/>
      <w:color w:val="0F4761" w:themeColor="accent1" w:themeShade="BF"/>
      <w:spacing w:val="5"/>
    </w:rPr>
  </w:style>
  <w:style w:type="table" w:styleId="TableGrid">
    <w:name w:val="Table Grid"/>
    <w:basedOn w:val="TableNormal"/>
    <w:uiPriority w:val="39"/>
    <w:rsid w:val="0085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07D"/>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AE007D"/>
    <w:rPr>
      <w:rFonts w:ascii="Calluna" w:hAnsi="Calluna" w:cs="Times New Roman"/>
      <w:kern w:val="0"/>
      <w14:ligatures w14:val="none"/>
    </w:rPr>
  </w:style>
  <w:style w:type="paragraph" w:styleId="Footer">
    <w:name w:val="footer"/>
    <w:basedOn w:val="Normal"/>
    <w:link w:val="FooterChar"/>
    <w:uiPriority w:val="99"/>
    <w:unhideWhenUsed/>
    <w:rsid w:val="00AE007D"/>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AE007D"/>
    <w:rPr>
      <w:rFonts w:ascii="Calluna" w:hAnsi="Calluna" w:cs="Times New Roman"/>
      <w:kern w:val="0"/>
      <w14:ligatures w14:val="none"/>
    </w:rPr>
  </w:style>
  <w:style w:type="paragraph" w:styleId="FootnoteText">
    <w:name w:val="footnote text"/>
    <w:basedOn w:val="Normal"/>
    <w:link w:val="FootnoteTextChar"/>
    <w:uiPriority w:val="99"/>
    <w:unhideWhenUsed/>
    <w:rsid w:val="00D1149C"/>
    <w:pPr>
      <w:tabs>
        <w:tab w:val="left" w:pos="360"/>
      </w:tabs>
      <w:spacing w:line="240" w:lineRule="auto"/>
      <w:ind w:left="360" w:hanging="360"/>
      <w:contextualSpacing/>
    </w:pPr>
    <w:rPr>
      <w:sz w:val="20"/>
      <w:szCs w:val="20"/>
    </w:rPr>
  </w:style>
  <w:style w:type="character" w:customStyle="1" w:styleId="FootnoteTextChar">
    <w:name w:val="Footnote Text Char"/>
    <w:basedOn w:val="DefaultParagraphFont"/>
    <w:link w:val="FootnoteText"/>
    <w:uiPriority w:val="99"/>
    <w:rsid w:val="00D1149C"/>
    <w:rPr>
      <w:rFonts w:ascii="Calluna" w:hAnsi="Calluna" w:cs="Times New Roman"/>
      <w:kern w:val="0"/>
      <w:sz w:val="20"/>
      <w:szCs w:val="20"/>
      <w14:ligatures w14:val="none"/>
    </w:rPr>
  </w:style>
  <w:style w:type="character" w:styleId="FootnoteReference">
    <w:name w:val="footnote reference"/>
    <w:basedOn w:val="DefaultParagraphFont"/>
    <w:uiPriority w:val="99"/>
    <w:semiHidden/>
    <w:unhideWhenUsed/>
    <w:rsid w:val="005F0BCC"/>
    <w:rPr>
      <w:vertAlign w:val="superscript"/>
    </w:rPr>
  </w:style>
  <w:style w:type="paragraph" w:styleId="NormalWeb">
    <w:name w:val="Normal (Web)"/>
    <w:basedOn w:val="Normal"/>
    <w:uiPriority w:val="99"/>
    <w:semiHidden/>
    <w:unhideWhenUsed/>
    <w:rsid w:val="00F45160"/>
    <w:pPr>
      <w:tabs>
        <w:tab w:val="clear" w:pos="720"/>
      </w:tabs>
      <w:spacing w:before="100" w:beforeAutospacing="1" w:after="100" w:afterAutospacing="1" w:line="240" w:lineRule="auto"/>
      <w:jc w:val="left"/>
    </w:pPr>
    <w:rPr>
      <w:rFonts w:ascii="Times New Roman" w:hAnsi="Times New Roman"/>
    </w:rPr>
  </w:style>
  <w:style w:type="character" w:styleId="Strong">
    <w:name w:val="Strong"/>
    <w:basedOn w:val="DefaultParagraphFont"/>
    <w:uiPriority w:val="22"/>
    <w:qFormat/>
    <w:rsid w:val="007729DD"/>
    <w:rPr>
      <w:b/>
      <w:bCs/>
    </w:rPr>
  </w:style>
  <w:style w:type="character" w:styleId="Hyperlink">
    <w:name w:val="Hyperlink"/>
    <w:basedOn w:val="DefaultParagraphFont"/>
    <w:uiPriority w:val="99"/>
    <w:unhideWhenUsed/>
    <w:rsid w:val="00DF74F5"/>
    <w:rPr>
      <w:color w:val="467886" w:themeColor="hyperlink"/>
      <w:u w:val="single"/>
    </w:rPr>
  </w:style>
  <w:style w:type="character" w:customStyle="1" w:styleId="UnresolvedMention">
    <w:name w:val="Unresolved Mention"/>
    <w:basedOn w:val="DefaultParagraphFont"/>
    <w:uiPriority w:val="99"/>
    <w:semiHidden/>
    <w:unhideWhenUsed/>
    <w:rsid w:val="00DF74F5"/>
    <w:rPr>
      <w:color w:val="605E5C"/>
      <w:shd w:val="clear" w:color="auto" w:fill="E1DFDD"/>
    </w:rPr>
  </w:style>
  <w:style w:type="paragraph" w:styleId="TOCHeading">
    <w:name w:val="TOC Heading"/>
    <w:basedOn w:val="Heading1"/>
    <w:next w:val="Normal"/>
    <w:uiPriority w:val="39"/>
    <w:unhideWhenUsed/>
    <w:qFormat/>
    <w:rsid w:val="00EA2288"/>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70ADD"/>
    <w:pPr>
      <w:tabs>
        <w:tab w:val="clear" w:pos="720"/>
        <w:tab w:val="right" w:leader="dot" w:pos="9350"/>
      </w:tabs>
      <w:spacing w:before="120" w:line="240" w:lineRule="auto"/>
      <w:jc w:val="left"/>
    </w:pPr>
  </w:style>
  <w:style w:type="paragraph" w:styleId="TOC2">
    <w:name w:val="toc 2"/>
    <w:basedOn w:val="Normal"/>
    <w:next w:val="Normal"/>
    <w:autoRedefine/>
    <w:uiPriority w:val="39"/>
    <w:unhideWhenUsed/>
    <w:rsid w:val="00E70ADD"/>
    <w:pPr>
      <w:tabs>
        <w:tab w:val="clear" w:pos="720"/>
        <w:tab w:val="right" w:leader="dot" w:pos="9360"/>
      </w:tabs>
      <w:spacing w:before="120" w:line="240" w:lineRule="auto"/>
      <w:ind w:left="1080" w:hanging="720"/>
      <w:jc w:val="left"/>
    </w:pPr>
  </w:style>
  <w:style w:type="paragraph" w:styleId="TOC3">
    <w:name w:val="toc 3"/>
    <w:basedOn w:val="Normal"/>
    <w:next w:val="Normal"/>
    <w:autoRedefine/>
    <w:uiPriority w:val="39"/>
    <w:unhideWhenUsed/>
    <w:rsid w:val="0082067D"/>
    <w:pPr>
      <w:tabs>
        <w:tab w:val="clear" w:pos="720"/>
      </w:tabs>
      <w:spacing w:before="80" w:line="240" w:lineRule="auto"/>
      <w:ind w:left="1080"/>
      <w:jc w:val="left"/>
    </w:pPr>
  </w:style>
  <w:style w:type="character" w:styleId="Emphasis">
    <w:name w:val="Emphasis"/>
    <w:basedOn w:val="DefaultParagraphFont"/>
    <w:uiPriority w:val="20"/>
    <w:qFormat/>
    <w:rsid w:val="00F91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2373-9954-46D9-8BC2-1F1640E5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12303</Words>
  <Characters>70130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Salo</dc:creator>
  <cp:keywords/>
  <dc:description/>
  <cp:lastModifiedBy>Microsoft account</cp:lastModifiedBy>
  <cp:revision>2</cp:revision>
  <dcterms:created xsi:type="dcterms:W3CDTF">2025-08-27T03:41:00Z</dcterms:created>
  <dcterms:modified xsi:type="dcterms:W3CDTF">2025-08-27T03:41:00Z</dcterms:modified>
</cp:coreProperties>
</file>